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bookmarkStart w:id="0" w:name="OLE_LINK25"/>
      <w:bookmarkStart w:id="1" w:name="OLE_LINK24"/>
      <w:bookmarkStart w:id="2" w:name="OLE_LINK33"/>
      <w:bookmarkStart w:id="3" w:name="OLE_LINK12"/>
      <w:bookmarkStart w:id="4" w:name="OLE_LINK34"/>
      <w:bookmarkStart w:id="5" w:name="OLE_LINK13"/>
      <w:r>
        <w:rPr>
          <w:rFonts w:hint="eastAsia" w:ascii="Arial" w:hAnsi="Arial" w:eastAsia="宋体"/>
          <w:b/>
          <w:lang w:eastAsia="ja-JP"/>
        </w:rPr>
        <w:t>3GPP TSG RAN WG1 #</w:t>
      </w:r>
      <w:r>
        <w:rPr>
          <w:rFonts w:hint="eastAsia" w:ascii="Arial" w:hAnsi="Arial" w:eastAsia="宋体"/>
          <w:b/>
        </w:rPr>
        <w:t xml:space="preserve">106bis-e </w:t>
      </w:r>
      <w:r>
        <w:rPr>
          <w:rFonts w:ascii="Arial" w:hAnsi="Arial" w:eastAsia="宋体"/>
          <w:b/>
        </w:rPr>
        <w:t xml:space="preserv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R1-2</w:t>
      </w:r>
      <w:r>
        <w:rPr>
          <w:rFonts w:hint="eastAsia" w:ascii="Arial" w:hAnsi="Arial" w:eastAsia="宋体"/>
          <w:b/>
        </w:rPr>
        <w:t>108876</w:t>
      </w:r>
      <w:r>
        <w:rPr>
          <w:rFonts w:hint="eastAsia" w:ascii="Arial" w:hAnsi="Arial" w:eastAsia="宋体"/>
          <w:b/>
          <w:lang w:eastAsia="ja-JP"/>
        </w:rPr>
        <w:t xml:space="preserve">                                                                         </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b/>
        </w:rPr>
        <w:t>e-Meeting</w:t>
      </w:r>
      <w:r>
        <w:rPr>
          <w:rFonts w:ascii="Arial" w:hAnsi="Arial"/>
          <w:b/>
          <w:lang w:eastAsia="ja-JP"/>
        </w:rPr>
        <w:t>,</w:t>
      </w:r>
      <w:r>
        <w:rPr>
          <w:rFonts w:hint="eastAsia" w:ascii="Arial" w:hAnsi="Arial"/>
          <w:b/>
        </w:rPr>
        <w:t xml:space="preserve"> October 11</w:t>
      </w:r>
      <w:r>
        <w:rPr>
          <w:rFonts w:ascii="Arial" w:hAnsi="Arial"/>
          <w:b/>
          <w:vertAlign w:val="superscript"/>
          <w:lang w:eastAsia="ja-JP"/>
        </w:rPr>
        <w:t>th</w:t>
      </w:r>
      <w:r>
        <w:rPr>
          <w:rFonts w:ascii="Arial" w:hAnsi="Arial"/>
          <w:b/>
          <w:lang w:eastAsia="ja-JP"/>
        </w:rPr>
        <w:t xml:space="preserve"> –</w:t>
      </w:r>
      <w:r>
        <w:rPr>
          <w:rFonts w:ascii="Arial" w:hAnsi="Arial"/>
          <w:b/>
        </w:rPr>
        <w:t xml:space="preserve"> </w:t>
      </w:r>
      <w:r>
        <w:rPr>
          <w:rFonts w:hint="eastAsia" w:ascii="Arial" w:hAnsi="Arial"/>
          <w:b/>
        </w:rPr>
        <w:t>19</w:t>
      </w:r>
      <w:r>
        <w:rPr>
          <w:rFonts w:ascii="Arial" w:hAnsi="Arial"/>
          <w:b/>
          <w:vertAlign w:val="superscript"/>
          <w:lang w:eastAsia="ja-JP"/>
        </w:rPr>
        <w:t>th</w:t>
      </w:r>
      <w:r>
        <w:rPr>
          <w:rFonts w:ascii="Arial" w:hAnsi="Arial"/>
          <w:b/>
          <w:lang w:eastAsia="ja-JP"/>
        </w:rPr>
        <w:t>,</w:t>
      </w:r>
      <w:r>
        <w:rPr>
          <w:rFonts w:hint="eastAsia" w:ascii="Arial" w:hAnsi="Arial" w:eastAsia="宋体"/>
          <w:b/>
          <w:lang w:eastAsia="ja-JP"/>
        </w:rPr>
        <w:t xml:space="preserve"> 20</w:t>
      </w:r>
      <w:r>
        <w:rPr>
          <w:rFonts w:hint="eastAsia" w:ascii="Arial" w:hAnsi="Arial" w:eastAsia="宋体"/>
          <w:b/>
        </w:rPr>
        <w:t>21</w:t>
      </w:r>
    </w:p>
    <w:bookmarkEnd w:id="0"/>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Title:            CSI enhancements for Multi-TRP and FR1 FDD reciprocity</w:t>
      </w:r>
    </w:p>
    <w:bookmarkEnd w:id="1"/>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8.1.4</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RAN#86, the Rel-17 WID for further enhancements on NR MIMO was approved, in which one potential enhancement is for CSI measurement and reporting as shown as follows</w:t>
      </w:r>
      <w:r>
        <w:rPr>
          <w:rFonts w:ascii="Times New Roman" w:hAnsi="Times New Roman"/>
          <w:sz w:val="20"/>
          <w:szCs w:val="20"/>
        </w:rPr>
        <w:t>.</w:t>
      </w:r>
    </w:p>
    <w:tbl>
      <w:tblPr>
        <w:tblStyle w:val="29"/>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50" w:type="dxa"/>
          </w:tcPr>
          <w:p>
            <w:pPr>
              <w:pStyle w:val="97"/>
              <w:adjustRightInd w:val="0"/>
              <w:snapToGrid w:val="0"/>
              <w:spacing w:after="0" w:line="240" w:lineRule="auto"/>
              <w:ind w:left="0" w:leftChars="0" w:firstLine="200" w:firstLineChars="100"/>
              <w:jc w:val="both"/>
              <w:rPr>
                <w:rFonts w:ascii="Times New Roman" w:hAnsi="Times New Roman"/>
                <w:sz w:val="20"/>
                <w:szCs w:val="20"/>
              </w:rPr>
            </w:pPr>
            <w:r>
              <w:rPr>
                <w:rFonts w:ascii="Times New Roman" w:hAnsi="Times New Roman"/>
                <w:sz w:val="20"/>
                <w:szCs w:val="20"/>
              </w:rPr>
              <w:t>Enhancement on CSI measurement and reporting:</w:t>
            </w:r>
          </w:p>
          <w:p>
            <w:pPr>
              <w:pStyle w:val="97"/>
              <w:numPr>
                <w:ilvl w:val="1"/>
                <w:numId w:val="2"/>
              </w:numPr>
              <w:adjustRightInd w:val="0"/>
              <w:snapToGrid w:val="0"/>
              <w:spacing w:after="0" w:line="240" w:lineRule="auto"/>
              <w:ind w:left="1240"/>
              <w:jc w:val="both"/>
              <w:rPr>
                <w:rFonts w:ascii="Times New Roman" w:hAnsi="Times New Roman"/>
                <w:sz w:val="20"/>
                <w:szCs w:val="20"/>
              </w:rPr>
            </w:pPr>
            <w:r>
              <w:rPr>
                <w:rFonts w:ascii="Times New Roman" w:hAnsi="Times New Roman"/>
                <w:sz w:val="20"/>
                <w:szCs w:val="20"/>
              </w:rPr>
              <w:t>Evaluate and, if needed, specify CSI reporting for DL multi-TRP and/or multi-panel transmission to enable more dynamic channel/interference hypotheses for NCJT, targeting both FR1 and FR2</w:t>
            </w:r>
          </w:p>
          <w:p>
            <w:pPr>
              <w:pStyle w:val="97"/>
              <w:numPr>
                <w:ilvl w:val="1"/>
                <w:numId w:val="2"/>
              </w:numPr>
              <w:adjustRightInd w:val="0"/>
              <w:snapToGrid w:val="0"/>
              <w:spacing w:after="0" w:line="240" w:lineRule="auto"/>
              <w:ind w:left="1240"/>
              <w:jc w:val="both"/>
              <w:rPr>
                <w:rFonts w:ascii="Times New Roman" w:hAnsi="Times New Roman"/>
                <w:sz w:val="20"/>
                <w:szCs w:val="20"/>
              </w:rPr>
            </w:pPr>
            <w:r>
              <w:rPr>
                <w:rFonts w:ascii="Times New Roman" w:hAnsi="Times New Roman"/>
                <w:sz w:val="20"/>
                <w:szCs w:val="20"/>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tc>
      </w:tr>
    </w:tbl>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After RAN1#10</w:t>
      </w:r>
      <w:r>
        <w:rPr>
          <w:rFonts w:hint="eastAsia" w:ascii="Times New Roman" w:hAnsi="Times New Roman"/>
          <w:sz w:val="20"/>
          <w:szCs w:val="20"/>
        </w:rPr>
        <w:t>6-</w:t>
      </w:r>
      <w:r>
        <w:rPr>
          <w:rFonts w:ascii="Times New Roman" w:hAnsi="Times New Roman"/>
          <w:sz w:val="20"/>
          <w:szCs w:val="20"/>
        </w:rPr>
        <w:t xml:space="preserve">e, good progress has been achieved for both MTRP and FDD reciprocity based CSI. However, there are still many detailed issues to be addressed, so </w:t>
      </w:r>
      <w:r>
        <w:rPr>
          <w:rFonts w:hint="eastAsia" w:ascii="Times New Roman" w:hAnsi="Times New Roman"/>
          <w:sz w:val="20"/>
          <w:szCs w:val="20"/>
        </w:rPr>
        <w:t xml:space="preserve">we provide our views for </w:t>
      </w:r>
      <w:r>
        <w:rPr>
          <w:rFonts w:ascii="Times New Roman" w:hAnsi="Times New Roman"/>
          <w:sz w:val="20"/>
          <w:szCs w:val="20"/>
        </w:rPr>
        <w:t>those open issues in this contribution</w:t>
      </w:r>
      <w:r>
        <w:rPr>
          <w:rFonts w:hint="eastAsia" w:ascii="Times New Roman" w:hAnsi="Times New Roman"/>
          <w:sz w:val="20"/>
          <w:szCs w:val="20"/>
        </w:rPr>
        <w:t>.</w:t>
      </w:r>
    </w:p>
    <w:p>
      <w:pPr>
        <w:widowControl w:val="0"/>
        <w:numPr>
          <w:ilvl w:val="0"/>
          <w:numId w:val="1"/>
        </w:numPr>
        <w:autoSpaceDE w:val="0"/>
        <w:autoSpaceDN w:val="0"/>
        <w:adjustRightInd w:val="0"/>
        <w:snapToGrid w:val="0"/>
        <w:spacing w:before="180" w:beforeLines="50" w:after="180" w:afterLines="50" w:line="240" w:lineRule="auto"/>
        <w:ind w:left="431" w:hanging="431"/>
        <w:outlineLvl w:val="0"/>
        <w:rPr>
          <w:rFonts w:ascii="Arial" w:hAnsi="Arial" w:eastAsia="黑体"/>
          <w:b/>
          <w:bCs/>
          <w:sz w:val="30"/>
          <w:szCs w:val="30"/>
        </w:rPr>
      </w:pPr>
      <w:r>
        <w:rPr>
          <w:rFonts w:hint="eastAsia" w:ascii="Arial" w:hAnsi="Arial" w:eastAsia="黑体"/>
          <w:b/>
          <w:bCs/>
          <w:sz w:val="28"/>
          <w:szCs w:val="30"/>
        </w:rPr>
        <w:t>M</w:t>
      </w:r>
      <w:r>
        <w:rPr>
          <w:rFonts w:ascii="Arial" w:hAnsi="Arial" w:eastAsia="黑体"/>
          <w:b/>
          <w:bCs/>
          <w:sz w:val="28"/>
          <w:szCs w:val="30"/>
        </w:rPr>
        <w:t>ulti-</w:t>
      </w:r>
      <w:r>
        <w:rPr>
          <w:rFonts w:hint="eastAsia" w:ascii="Arial" w:hAnsi="Arial" w:eastAsia="黑体"/>
          <w:b/>
          <w:bCs/>
          <w:sz w:val="28"/>
          <w:szCs w:val="30"/>
        </w:rPr>
        <w:t>TRP CSI enhancement</w:t>
      </w:r>
    </w:p>
    <w:p>
      <w:pPr>
        <w:adjustRightInd w:val="0"/>
        <w:snapToGrid w:val="0"/>
        <w:spacing w:before="180" w:beforeLines="50" w:after="180" w:afterLines="50" w:line="240" w:lineRule="auto"/>
        <w:jc w:val="both"/>
      </w:pPr>
      <w:r>
        <w:rPr>
          <w:rFonts w:hint="eastAsia" w:ascii="Times New Roman" w:hAnsi="Times New Roman" w:eastAsia="宋体"/>
          <w:sz w:val="20"/>
          <w:szCs w:val="20"/>
        </w:rPr>
        <w:t xml:space="preserve">During </w:t>
      </w:r>
      <w:r>
        <w:rPr>
          <w:rFonts w:ascii="Times New Roman" w:hAnsi="Times New Roman" w:eastAsia="宋体"/>
          <w:sz w:val="20"/>
          <w:szCs w:val="20"/>
        </w:rPr>
        <w:t>RAN1</w:t>
      </w:r>
      <w:r>
        <w:rPr>
          <w:rFonts w:hint="eastAsia" w:ascii="Times New Roman" w:hAnsi="Times New Roman" w:eastAsia="宋体"/>
          <w:sz w:val="20"/>
          <w:szCs w:val="20"/>
        </w:rPr>
        <w:t xml:space="preserve">#106-e, </w:t>
      </w:r>
      <w:r>
        <w:rPr>
          <w:rFonts w:ascii="Times New Roman" w:hAnsi="Times New Roman" w:eastAsia="宋体"/>
          <w:sz w:val="20"/>
          <w:szCs w:val="20"/>
        </w:rPr>
        <w:t xml:space="preserve">the basic framework has been established </w:t>
      </w:r>
      <w:r>
        <w:rPr>
          <w:rFonts w:hint="eastAsia" w:ascii="Times New Roman" w:hAnsi="Times New Roman" w:eastAsia="宋体"/>
          <w:sz w:val="20"/>
          <w:szCs w:val="20"/>
        </w:rPr>
        <w:t xml:space="preserve">for </w:t>
      </w:r>
      <w:r>
        <w:rPr>
          <w:rFonts w:ascii="Times New Roman" w:hAnsi="Times New Roman" w:eastAsia="宋体"/>
          <w:sz w:val="20"/>
          <w:szCs w:val="20"/>
        </w:rPr>
        <w:t xml:space="preserve">single reporting based </w:t>
      </w:r>
      <w:r>
        <w:rPr>
          <w:rFonts w:hint="eastAsia" w:ascii="Times New Roman" w:hAnsi="Times New Roman" w:eastAsia="宋体"/>
          <w:sz w:val="20"/>
          <w:szCs w:val="20"/>
        </w:rPr>
        <w:t>MTRP</w:t>
      </w:r>
      <w:r>
        <w:rPr>
          <w:rFonts w:ascii="Times New Roman" w:hAnsi="Times New Roman" w:eastAsia="宋体"/>
          <w:sz w:val="20"/>
          <w:szCs w:val="20"/>
        </w:rPr>
        <w:t xml:space="preserve"> CSI</w:t>
      </w:r>
      <w:r>
        <w:rPr>
          <w:rFonts w:hint="eastAsia" w:ascii="Times New Roman" w:hAnsi="Times New Roman" w:eastAsia="宋体"/>
          <w:sz w:val="20"/>
          <w:szCs w:val="20"/>
        </w:rPr>
        <w:t xml:space="preserve"> [1]. </w:t>
      </w:r>
      <w:r>
        <w:rPr>
          <w:rFonts w:ascii="Times New Roman" w:hAnsi="Times New Roman" w:eastAsia="宋体"/>
          <w:sz w:val="20"/>
          <w:szCs w:val="20"/>
        </w:rPr>
        <w:t>The remaining issues on</w:t>
      </w:r>
      <w:r>
        <w:rPr>
          <w:rFonts w:hint="eastAsia" w:ascii="Times New Roman" w:hAnsi="Times New Roman" w:eastAsia="宋体"/>
          <w:sz w:val="20"/>
          <w:szCs w:val="20"/>
        </w:rPr>
        <w:t xml:space="preserve"> </w:t>
      </w:r>
      <w:r>
        <w:rPr>
          <w:rFonts w:ascii="Times New Roman" w:hAnsi="Times New Roman" w:eastAsia="宋体"/>
          <w:sz w:val="20"/>
          <w:szCs w:val="20"/>
        </w:rPr>
        <w:t xml:space="preserve">MTRP </w:t>
      </w:r>
      <w:r>
        <w:rPr>
          <w:rFonts w:hint="eastAsia" w:ascii="Times New Roman" w:hAnsi="Times New Roman" w:eastAsia="宋体"/>
          <w:sz w:val="20"/>
          <w:szCs w:val="20"/>
        </w:rPr>
        <w:t xml:space="preserve">CSI enhancements </w:t>
      </w:r>
      <w:r>
        <w:rPr>
          <w:rFonts w:ascii="Times New Roman" w:hAnsi="Times New Roman" w:eastAsia="宋体"/>
          <w:sz w:val="20"/>
          <w:szCs w:val="20"/>
        </w:rPr>
        <w:t>include</w:t>
      </w:r>
      <w:r>
        <w:rPr>
          <w:rFonts w:hint="eastAsia" w:ascii="Times New Roman" w:hAnsi="Times New Roman" w:eastAsia="宋体"/>
          <w:sz w:val="20"/>
          <w:szCs w:val="20"/>
        </w:rPr>
        <w:t xml:space="preserve"> time domain restriction of CMRs</w:t>
      </w:r>
      <w:r>
        <w:rPr>
          <w:rFonts w:ascii="Times New Roman" w:hAnsi="Times New Roman" w:eastAsia="宋体"/>
          <w:sz w:val="20"/>
          <w:szCs w:val="20"/>
        </w:rPr>
        <w:t>, power offset assumption</w:t>
      </w:r>
      <w:r>
        <w:rPr>
          <w:rFonts w:hint="eastAsia" w:ascii="Times New Roman" w:hAnsi="Times New Roman" w:eastAsia="宋体"/>
          <w:sz w:val="20"/>
          <w:szCs w:val="20"/>
        </w:rPr>
        <w:t xml:space="preserve"> for </w:t>
      </w:r>
      <w:r>
        <w:rPr>
          <w:rFonts w:ascii="Times New Roman" w:hAnsi="Times New Roman" w:eastAsia="宋体"/>
          <w:sz w:val="20"/>
          <w:szCs w:val="20"/>
        </w:rPr>
        <w:t>NCJT CSI calculation,</w:t>
      </w:r>
      <w:r>
        <w:rPr>
          <w:rFonts w:hint="eastAsia" w:ascii="Times New Roman" w:hAnsi="Times New Roman" w:eastAsia="宋体"/>
          <w:sz w:val="20"/>
          <w:szCs w:val="20"/>
        </w:rPr>
        <w:t xml:space="preserve"> RI restriction, </w:t>
      </w:r>
      <w:r>
        <w:rPr>
          <w:rFonts w:ascii="Times New Roman" w:hAnsi="Times New Roman" w:eastAsia="宋体"/>
          <w:sz w:val="20"/>
          <w:szCs w:val="20"/>
        </w:rPr>
        <w:t xml:space="preserve">UCI priority/omission rules </w:t>
      </w:r>
      <w:r>
        <w:rPr>
          <w:rFonts w:hint="eastAsia" w:ascii="Times New Roman" w:hAnsi="Times New Roman" w:eastAsia="宋体"/>
          <w:sz w:val="20"/>
          <w:szCs w:val="20"/>
        </w:rPr>
        <w:t>and mapping order</w:t>
      </w:r>
      <w:r>
        <w:rPr>
          <w:rFonts w:ascii="Times New Roman" w:hAnsi="Times New Roman" w:eastAsia="宋体"/>
          <w:sz w:val="20"/>
          <w:szCs w:val="20"/>
        </w:rPr>
        <w:t>, etc</w:t>
      </w:r>
      <w:r>
        <w:rPr>
          <w:rFonts w:hint="eastAsia" w:ascii="Times New Roman" w:hAnsi="Times New Roman" w:eastAsia="宋体"/>
          <w:sz w:val="20"/>
          <w:szCs w:val="20"/>
        </w:rPr>
        <w:t xml:space="preserve">. In this </w:t>
      </w:r>
      <w:r>
        <w:rPr>
          <w:rFonts w:ascii="Times New Roman" w:hAnsi="Times New Roman" w:eastAsia="宋体"/>
          <w:sz w:val="20"/>
          <w:szCs w:val="20"/>
        </w:rPr>
        <w:t>section</w:t>
      </w:r>
      <w:r>
        <w:rPr>
          <w:rFonts w:hint="eastAsia" w:ascii="Times New Roman" w:hAnsi="Times New Roman" w:eastAsia="宋体"/>
          <w:sz w:val="20"/>
          <w:szCs w:val="20"/>
        </w:rPr>
        <w:t xml:space="preserve">, we discuss and present our views </w:t>
      </w:r>
      <w:r>
        <w:rPr>
          <w:rFonts w:ascii="Times New Roman" w:hAnsi="Times New Roman" w:eastAsia="宋体"/>
          <w:sz w:val="20"/>
          <w:szCs w:val="20"/>
        </w:rPr>
        <w:t>on these aspects</w:t>
      </w:r>
      <w:r>
        <w:rPr>
          <w:rFonts w:hint="eastAsia" w:ascii="Times New Roman" w:hAnsi="Times New Roman" w:eastAsia="宋体"/>
          <w:sz w:val="20"/>
          <w:szCs w:val="20"/>
        </w:rPr>
        <w:t>.</w:t>
      </w:r>
    </w:p>
    <w:p>
      <w:pPr>
        <w:keepNext/>
        <w:keepLines/>
        <w:snapToGrid w:val="0"/>
        <w:spacing w:before="260" w:after="180" w:afterLines="50" w:line="240" w:lineRule="auto"/>
        <w:outlineLvl w:val="1"/>
        <w:rPr>
          <w:rFonts w:ascii="Arial" w:hAnsi="Arial"/>
          <w:sz w:val="24"/>
          <w:szCs w:val="24"/>
        </w:rPr>
      </w:pPr>
      <w:r>
        <w:rPr>
          <w:rFonts w:hint="eastAsia" w:ascii="Arial" w:hAnsi="Arial"/>
          <w:sz w:val="24"/>
          <w:szCs w:val="24"/>
        </w:rPr>
        <w:t>2.1 Time domain restriction of CMRs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snapToGrid w:val="0"/>
              <w:spacing w:after="0" w:line="240" w:lineRule="auto"/>
              <w:jc w:val="both"/>
              <w:rPr>
                <w:rFonts w:ascii="Times New Roman" w:hAnsi="Times New Roman" w:eastAsia="宋体"/>
                <w:b/>
                <w:iCs/>
                <w:sz w:val="20"/>
                <w:szCs w:val="20"/>
              </w:rPr>
            </w:pPr>
            <w:r>
              <w:rPr>
                <w:rFonts w:ascii="Times New Roman" w:hAnsi="Times New Roman" w:eastAsia="宋体"/>
                <w:b/>
                <w:iCs/>
                <w:sz w:val="20"/>
                <w:szCs w:val="20"/>
                <w:lang w:val="en-GB" w:eastAsia="en-US"/>
              </w:rPr>
              <w:t>Agreement</w:t>
            </w:r>
            <w:r>
              <w:rPr>
                <w:rFonts w:hint="eastAsia" w:ascii="Times New Roman" w:hAnsi="Times New Roman" w:eastAsia="宋体"/>
                <w:b/>
                <w:iCs/>
                <w:sz w:val="20"/>
                <w:szCs w:val="20"/>
              </w:rPr>
              <w:t>#1</w:t>
            </w:r>
          </w:p>
          <w:p>
            <w:pPr>
              <w:snapToGrid w:val="0"/>
              <w:spacing w:after="0" w:line="240" w:lineRule="auto"/>
              <w:rPr>
                <w:rFonts w:ascii="Times New Roman" w:hAnsi="Times New Roman" w:eastAsia="Batang"/>
                <w:sz w:val="20"/>
                <w:szCs w:val="20"/>
                <w:lang w:val="en-GB" w:eastAsia="en-US"/>
              </w:rPr>
            </w:pPr>
            <w:r>
              <w:rPr>
                <w:rFonts w:ascii="Times New Roman" w:hAnsi="Times New Roman" w:eastAsia="Batang"/>
                <w:sz w:val="20"/>
                <w:szCs w:val="20"/>
                <w:lang w:val="en-GB" w:eastAsia="en-US"/>
              </w:rPr>
              <w:t>For CSI measurement associated with a CSI-ReportingConfig for NC-JT, study following restriction(s) for two CMRs within the same CMR pair configured for NCJT measurement hypothesis:</w:t>
            </w:r>
          </w:p>
          <w:p>
            <w:pPr>
              <w:numPr>
                <w:ilvl w:val="0"/>
                <w:numId w:val="3"/>
              </w:numPr>
              <w:snapToGrid w:val="0"/>
              <w:spacing w:after="0" w:line="240" w:lineRule="auto"/>
              <w:rPr>
                <w:rFonts w:ascii="Times New Roman" w:hAnsi="Times New Roman" w:eastAsia="Batang"/>
                <w:sz w:val="20"/>
                <w:szCs w:val="20"/>
                <w:lang w:val="en-GB" w:eastAsia="en-US"/>
              </w:rPr>
            </w:pPr>
            <w:r>
              <w:rPr>
                <w:rFonts w:ascii="Times New Roman" w:hAnsi="Times New Roman" w:eastAsia="Batang"/>
                <w:sz w:val="20"/>
                <w:szCs w:val="20"/>
                <w:lang w:val="en-GB" w:eastAsia="en-US"/>
              </w:rPr>
              <w:t>FFS: two resources are restricted within the same DL slot</w:t>
            </w:r>
          </w:p>
          <w:p>
            <w:pPr>
              <w:numPr>
                <w:ilvl w:val="0"/>
                <w:numId w:val="3"/>
              </w:numPr>
              <w:snapToGrid w:val="0"/>
              <w:spacing w:after="0" w:line="240" w:lineRule="auto"/>
              <w:rPr>
                <w:rFonts w:ascii="Times New Roman" w:hAnsi="Times New Roman"/>
                <w:kern w:val="2"/>
                <w:sz w:val="20"/>
                <w:szCs w:val="20"/>
                <w:lang w:val="en-GB" w:eastAsia="en-US"/>
              </w:rPr>
            </w:pPr>
            <w:r>
              <w:rPr>
                <w:rFonts w:ascii="Times New Roman" w:hAnsi="Times New Roman" w:eastAsia="Batang"/>
                <w:sz w:val="20"/>
                <w:szCs w:val="20"/>
                <w:lang w:val="en-GB" w:eastAsia="en-US"/>
              </w:rPr>
              <w:t>FFS: two resources are restricted with the same CDRX active time</w:t>
            </w:r>
          </w:p>
        </w:tc>
      </w:tr>
    </w:tbl>
    <w:p>
      <w:pPr>
        <w:adjustRightInd w:val="0"/>
        <w:snapToGrid w:val="0"/>
        <w:spacing w:before="180" w:beforeLines="50" w:after="180" w:afterLines="50" w:line="240" w:lineRule="auto"/>
        <w:jc w:val="both"/>
        <w:rPr>
          <w:rFonts w:ascii="Times" w:hAnsi="Times" w:eastAsia="宋体" w:cs="Times"/>
          <w:kern w:val="2"/>
          <w:sz w:val="20"/>
          <w:szCs w:val="20"/>
        </w:rPr>
      </w:pPr>
      <w:r>
        <w:rPr>
          <w:rFonts w:hint="eastAsia" w:ascii="Times" w:hAnsi="Times" w:eastAsia="宋体" w:cs="Times"/>
          <w:kern w:val="2"/>
          <w:sz w:val="20"/>
          <w:szCs w:val="20"/>
        </w:rPr>
        <w:t>I</w:t>
      </w:r>
      <w:r>
        <w:rPr>
          <w:rFonts w:ascii="Times" w:hAnsi="Times" w:eastAsia="宋体" w:cs="Times"/>
          <w:kern w:val="2"/>
          <w:sz w:val="20"/>
          <w:szCs w:val="20"/>
        </w:rPr>
        <w:t xml:space="preserve">n Rel-15/Rel-16, </w:t>
      </w:r>
      <w:r>
        <w:rPr>
          <w:rFonts w:hint="eastAsia" w:ascii="Times" w:hAnsi="Times" w:eastAsia="宋体" w:cs="Times"/>
          <w:kern w:val="2"/>
          <w:sz w:val="20"/>
          <w:szCs w:val="20"/>
        </w:rPr>
        <w:t xml:space="preserve">there is no time domain restriction of CMRs in a CSI-RS resource set. Therefore, </w:t>
      </w:r>
      <w:r>
        <w:rPr>
          <w:rFonts w:ascii="Times" w:hAnsi="Times" w:eastAsia="宋体" w:cs="Times"/>
          <w:kern w:val="2"/>
          <w:sz w:val="20"/>
          <w:szCs w:val="20"/>
        </w:rPr>
        <w:t xml:space="preserve">the slot offset for </w:t>
      </w:r>
      <w:r>
        <w:rPr>
          <w:rFonts w:hint="eastAsia" w:ascii="Times" w:hAnsi="Times" w:eastAsia="宋体" w:cs="Times"/>
          <w:kern w:val="2"/>
          <w:sz w:val="20"/>
          <w:szCs w:val="20"/>
        </w:rPr>
        <w:t>different</w:t>
      </w:r>
      <w:r>
        <w:rPr>
          <w:rFonts w:ascii="Times" w:hAnsi="Times" w:eastAsia="宋体" w:cs="Times"/>
          <w:kern w:val="2"/>
          <w:sz w:val="20"/>
          <w:szCs w:val="20"/>
        </w:rPr>
        <w:t xml:space="preserve"> CMRs within one set can be same or different.</w:t>
      </w:r>
      <w:r>
        <w:rPr>
          <w:rFonts w:hint="eastAsia" w:ascii="Times" w:hAnsi="Times" w:eastAsia="宋体" w:cs="Times"/>
          <w:kern w:val="2"/>
          <w:sz w:val="20"/>
          <w:szCs w:val="20"/>
        </w:rPr>
        <w:t xml:space="preserve"> As we all know, DL/UL switching, </w:t>
      </w:r>
      <w:r>
        <w:rPr>
          <w:rFonts w:ascii="Times" w:hAnsi="Times" w:eastAsia="宋体" w:cs="Times"/>
          <w:kern w:val="2"/>
          <w:sz w:val="20"/>
          <w:szCs w:val="20"/>
        </w:rPr>
        <w:t>may</w:t>
      </w:r>
      <w:r>
        <w:rPr>
          <w:rFonts w:hint="eastAsia" w:ascii="Times" w:hAnsi="Times" w:eastAsia="宋体" w:cs="Times"/>
          <w:kern w:val="2"/>
          <w:sz w:val="20"/>
          <w:szCs w:val="20"/>
        </w:rPr>
        <w:t xml:space="preserve"> cause the undesired phase rotation at receiver</w:t>
      </w:r>
      <w:r>
        <w:rPr>
          <w:rFonts w:ascii="Times" w:hAnsi="Times" w:eastAsia="宋体" w:cs="Times"/>
          <w:kern w:val="2"/>
          <w:sz w:val="20"/>
          <w:szCs w:val="20"/>
        </w:rPr>
        <w:t xml:space="preserve"> side</w:t>
      </w:r>
      <w:r>
        <w:rPr>
          <w:rFonts w:hint="eastAsia" w:ascii="Times" w:hAnsi="Times" w:eastAsia="宋体" w:cs="Times"/>
          <w:kern w:val="2"/>
          <w:sz w:val="20"/>
          <w:szCs w:val="20"/>
        </w:rPr>
        <w:t>, which may</w:t>
      </w:r>
      <w:r>
        <w:rPr>
          <w:rFonts w:ascii="Times" w:hAnsi="Times" w:eastAsia="宋体" w:cs="Times"/>
          <w:kern w:val="2"/>
          <w:sz w:val="20"/>
          <w:szCs w:val="20"/>
        </w:rPr>
        <w:t xml:space="preserve"> further</w:t>
      </w:r>
      <w:r>
        <w:rPr>
          <w:rFonts w:hint="eastAsia" w:ascii="Times" w:hAnsi="Times" w:eastAsia="宋体" w:cs="Times"/>
          <w:kern w:val="2"/>
          <w:sz w:val="20"/>
          <w:szCs w:val="20"/>
        </w:rPr>
        <w:t xml:space="preserve"> lead to the mismatch between the reported CQI and the proper MCS in NCJT scheduling. However, only when UL transmission exists between paired CMRs, the undesired phase rotation </w:t>
      </w:r>
      <w:r>
        <w:rPr>
          <w:rFonts w:ascii="Times" w:hAnsi="Times" w:eastAsia="宋体" w:cs="Times"/>
          <w:kern w:val="2"/>
          <w:sz w:val="20"/>
          <w:szCs w:val="20"/>
        </w:rPr>
        <w:t xml:space="preserve">may </w:t>
      </w:r>
      <w:r>
        <w:rPr>
          <w:rFonts w:hint="eastAsia" w:ascii="Times" w:hAnsi="Times" w:eastAsia="宋体" w:cs="Times"/>
          <w:kern w:val="2"/>
          <w:sz w:val="20"/>
          <w:szCs w:val="20"/>
        </w:rPr>
        <w:t>happen.</w:t>
      </w:r>
      <w:r>
        <w:rPr>
          <w:rFonts w:ascii="Times" w:hAnsi="Times" w:eastAsia="宋体" w:cs="Times"/>
          <w:kern w:val="2"/>
          <w:sz w:val="20"/>
          <w:szCs w:val="20"/>
        </w:rPr>
        <w:t xml:space="preserve"> It is unclear how much impact that the receiver side phase rotation can cause in such rare scenarios. If needed, w</w:t>
      </w:r>
      <w:r>
        <w:rPr>
          <w:rFonts w:hint="eastAsia" w:ascii="Times" w:hAnsi="Times" w:eastAsia="宋体" w:cs="Times"/>
          <w:kern w:val="2"/>
          <w:sz w:val="20"/>
          <w:szCs w:val="20"/>
        </w:rPr>
        <w:t>e think</w:t>
      </w:r>
      <w:r>
        <w:rPr>
          <w:rFonts w:ascii="Times" w:hAnsi="Times" w:eastAsia="宋体" w:cs="Times"/>
          <w:kern w:val="2"/>
          <w:sz w:val="20"/>
          <w:szCs w:val="20"/>
        </w:rPr>
        <w:t xml:space="preserve"> it is better to let RAN4 evaluate such issue in their normative work phase.</w:t>
      </w:r>
      <w:r>
        <w:rPr>
          <w:rFonts w:hint="eastAsia" w:ascii="Times" w:hAnsi="Times" w:eastAsia="宋体" w:cs="Times"/>
          <w:kern w:val="2"/>
          <w:sz w:val="20"/>
          <w:szCs w:val="20"/>
        </w:rPr>
        <w:t xml:space="preserve"> What</w:t>
      </w:r>
      <w:r>
        <w:rPr>
          <w:rFonts w:ascii="Times" w:hAnsi="Times" w:eastAsia="宋体" w:cs="Times"/>
          <w:kern w:val="2"/>
          <w:sz w:val="20"/>
          <w:szCs w:val="20"/>
        </w:rPr>
        <w:t>’</w:t>
      </w:r>
      <w:r>
        <w:rPr>
          <w:rFonts w:hint="eastAsia" w:ascii="Times" w:hAnsi="Times" w:eastAsia="宋体" w:cs="Times"/>
          <w:kern w:val="2"/>
          <w:sz w:val="20"/>
          <w:szCs w:val="20"/>
        </w:rPr>
        <w:t xml:space="preserve">s more, DL/UL switching between paired CMRs can be avoided by gNB </w:t>
      </w:r>
      <w:r>
        <w:rPr>
          <w:rFonts w:ascii="Times" w:hAnsi="Times" w:eastAsia="宋体" w:cs="Times"/>
          <w:kern w:val="2"/>
          <w:sz w:val="20"/>
          <w:szCs w:val="20"/>
        </w:rPr>
        <w:t xml:space="preserve">implementation </w:t>
      </w:r>
      <w:r>
        <w:rPr>
          <w:rFonts w:hint="eastAsia" w:ascii="Times" w:hAnsi="Times" w:eastAsia="宋体" w:cs="Times"/>
          <w:kern w:val="2"/>
          <w:sz w:val="20"/>
          <w:szCs w:val="20"/>
        </w:rPr>
        <w:t xml:space="preserve">rather than restricting two CMR </w:t>
      </w:r>
      <w:r>
        <w:rPr>
          <w:rFonts w:ascii="Times" w:hAnsi="Times" w:eastAsia="宋体" w:cs="Times"/>
          <w:kern w:val="2"/>
          <w:sz w:val="20"/>
          <w:szCs w:val="20"/>
          <w:lang w:val="en-GB" w:eastAsia="en-US"/>
        </w:rPr>
        <w:t>within the same DL slot</w:t>
      </w:r>
      <w:r>
        <w:rPr>
          <w:rFonts w:hint="eastAsia" w:ascii="Times" w:hAnsi="Times" w:eastAsia="宋体" w:cs="Times"/>
          <w:kern w:val="2"/>
          <w:sz w:val="20"/>
          <w:szCs w:val="20"/>
        </w:rPr>
        <w:t xml:space="preserve"> or</w:t>
      </w:r>
      <w:r>
        <w:rPr>
          <w:rFonts w:ascii="Times" w:hAnsi="Times" w:eastAsia="宋体" w:cs="Times"/>
          <w:kern w:val="2"/>
          <w:sz w:val="20"/>
          <w:szCs w:val="20"/>
          <w:lang w:val="en-GB" w:eastAsia="en-US"/>
        </w:rPr>
        <w:t xml:space="preserve"> CDRX active time</w:t>
      </w:r>
      <w:r>
        <w:rPr>
          <w:rFonts w:hint="eastAsia" w:ascii="Times" w:hAnsi="Times" w:eastAsia="宋体" w:cs="Times"/>
          <w:kern w:val="2"/>
          <w:sz w:val="20"/>
          <w:szCs w:val="20"/>
        </w:rPr>
        <w:t xml:space="preserve">. Therefore, </w:t>
      </w:r>
      <w:r>
        <w:rPr>
          <w:rFonts w:ascii="Times" w:hAnsi="Times" w:eastAsia="宋体" w:cs="Times"/>
          <w:kern w:val="2"/>
          <w:sz w:val="20"/>
          <w:szCs w:val="20"/>
        </w:rPr>
        <w:t>from RAN1 specification perspective</w:t>
      </w:r>
      <w:r>
        <w:rPr>
          <w:rFonts w:ascii="Times New Roman" w:hAnsi="Times New Roman" w:eastAsia="Batang"/>
          <w:sz w:val="20"/>
          <w:szCs w:val="24"/>
          <w:lang w:val="en-GB" w:eastAsia="en-US"/>
        </w:rPr>
        <w:t>, it is unnecessary to introduce the restriction</w:t>
      </w:r>
      <w:r>
        <w:rPr>
          <w:rFonts w:hint="eastAsia" w:ascii="Times New Roman" w:hAnsi="Times New Roman" w:eastAsia="宋体"/>
          <w:sz w:val="20"/>
          <w:szCs w:val="24"/>
        </w:rPr>
        <w:t>s shown as Agreement#1</w:t>
      </w:r>
      <w:r>
        <w:rPr>
          <w:rFonts w:ascii="Times New Roman" w:hAnsi="Times New Roman" w:eastAsia="Batang"/>
          <w:sz w:val="20"/>
          <w:szCs w:val="24"/>
          <w:lang w:val="en-GB" w:eastAsia="en-US"/>
        </w:rPr>
        <w:t xml:space="preserve"> for two CMRs within the same CMR pair for NCJT measurement hypothesis</w:t>
      </w:r>
      <w:r>
        <w:rPr>
          <w:rFonts w:hint="eastAsia" w:ascii="Times New Roman" w:hAnsi="Times New Roman" w:eastAsia="宋体"/>
          <w:sz w:val="20"/>
          <w:szCs w:val="24"/>
        </w:rPr>
        <w:t>.</w:t>
      </w:r>
    </w:p>
    <w:p>
      <w:pPr>
        <w:adjustRightInd w:val="0"/>
        <w:snapToGrid w:val="0"/>
        <w:spacing w:before="180" w:beforeLines="50" w:after="180" w:afterLines="50" w:line="240" w:lineRule="auto"/>
        <w:jc w:val="both"/>
        <w:rPr>
          <w:rFonts w:ascii="Times" w:hAnsi="Times" w:eastAsia="宋体" w:cs="Times"/>
          <w:i/>
          <w:iCs/>
          <w:kern w:val="2"/>
          <w:sz w:val="20"/>
          <w:szCs w:val="20"/>
        </w:rPr>
      </w:pPr>
      <w:r>
        <w:rPr>
          <w:rFonts w:hint="eastAsia" w:ascii="Times" w:hAnsi="Times" w:eastAsia="宋体" w:cs="Times"/>
          <w:b/>
          <w:bCs/>
          <w:i/>
          <w:iCs/>
          <w:kern w:val="2"/>
          <w:sz w:val="20"/>
          <w:szCs w:val="20"/>
        </w:rPr>
        <w:t>Proposal 1:</w:t>
      </w:r>
      <w:r>
        <w:rPr>
          <w:rFonts w:hint="eastAsia" w:ascii="Times" w:hAnsi="Times" w:eastAsia="宋体" w:cs="Times"/>
          <w:i/>
          <w:iCs/>
          <w:kern w:val="2"/>
          <w:sz w:val="20"/>
          <w:szCs w:val="20"/>
        </w:rPr>
        <w:t xml:space="preserve"> Do </w:t>
      </w:r>
      <w:r>
        <w:rPr>
          <w:rFonts w:ascii="Times" w:hAnsi="Times" w:eastAsia="宋体" w:cs="Times"/>
          <w:i/>
          <w:iCs/>
          <w:kern w:val="2"/>
          <w:sz w:val="20"/>
          <w:szCs w:val="20"/>
        </w:rPr>
        <w:t>NOT</w:t>
      </w:r>
      <w:r>
        <w:rPr>
          <w:rFonts w:hint="eastAsia" w:ascii="Times" w:hAnsi="Times" w:eastAsia="宋体" w:cs="Times"/>
          <w:i/>
          <w:iCs/>
          <w:kern w:val="2"/>
          <w:sz w:val="20"/>
          <w:szCs w:val="20"/>
        </w:rPr>
        <w:t xml:space="preserve"> support any time domain restriction of CMRs for NCJT CSI measurement hypothesis</w:t>
      </w:r>
      <w:r>
        <w:rPr>
          <w:rFonts w:ascii="Times" w:hAnsi="Times" w:eastAsia="宋体" w:cs="Times"/>
          <w:i/>
          <w:iCs/>
          <w:kern w:val="2"/>
          <w:sz w:val="20"/>
          <w:szCs w:val="20"/>
        </w:rPr>
        <w:t xml:space="preserve"> from RAN1 specification perspective</w:t>
      </w:r>
      <w:r>
        <w:rPr>
          <w:rFonts w:hint="eastAsia" w:ascii="Times" w:hAnsi="Times" w:eastAsia="宋体" w:cs="Times"/>
          <w:i/>
          <w:iCs/>
          <w:kern w:val="2"/>
          <w:sz w:val="20"/>
          <w:szCs w:val="20"/>
        </w:rPr>
        <w:t>.</w:t>
      </w:r>
    </w:p>
    <w:p>
      <w:pPr>
        <w:keepNext/>
        <w:keepLines/>
        <w:snapToGrid w:val="0"/>
        <w:spacing w:before="260" w:after="180" w:afterLines="50" w:line="240" w:lineRule="auto"/>
        <w:outlineLvl w:val="1"/>
        <w:rPr>
          <w:rFonts w:ascii="Arial" w:hAnsi="Arial"/>
          <w:sz w:val="24"/>
          <w:szCs w:val="24"/>
        </w:rPr>
      </w:pPr>
      <w:r>
        <w:rPr>
          <w:rFonts w:hint="eastAsia" w:ascii="Arial" w:hAnsi="Arial"/>
          <w:sz w:val="24"/>
          <w:szCs w:val="24"/>
        </w:rPr>
        <w:t xml:space="preserve">2.2 </w:t>
      </w:r>
      <w:r>
        <w:rPr>
          <w:rFonts w:ascii="Arial" w:hAnsi="Arial"/>
          <w:sz w:val="24"/>
          <w:szCs w:val="24"/>
        </w:rPr>
        <w:t>Power offset assumption for NCJT CSI calculation</w:t>
      </w:r>
    </w:p>
    <w:tbl>
      <w:tblPr>
        <w:tblStyle w:val="29"/>
        <w:tblW w:w="9686" w:type="dxa"/>
        <w:tblInd w:w="-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86" w:type="dxa"/>
          </w:tcPr>
          <w:p>
            <w:pPr>
              <w:shd w:val="clear" w:color="auto" w:fill="FFFFFF"/>
              <w:adjustRightInd w:val="0"/>
              <w:snapToGrid w:val="0"/>
              <w:spacing w:after="0" w:line="240" w:lineRule="exact"/>
              <w:jc w:val="both"/>
              <w:rPr>
                <w:rFonts w:ascii="Times New Roman" w:hAnsi="Times New Roman" w:eastAsia="宋体"/>
                <w:b/>
                <w:iCs/>
                <w:sz w:val="20"/>
                <w:szCs w:val="20"/>
              </w:rPr>
            </w:pPr>
            <w:r>
              <w:rPr>
                <w:rFonts w:ascii="Times New Roman" w:hAnsi="Times New Roman" w:eastAsia="宋体"/>
                <w:b/>
                <w:iCs/>
                <w:sz w:val="20"/>
                <w:szCs w:val="20"/>
                <w:lang w:val="en-GB" w:eastAsia="en-US"/>
              </w:rPr>
              <w:t>Agreement</w:t>
            </w:r>
            <w:r>
              <w:rPr>
                <w:rFonts w:hint="eastAsia" w:ascii="Times New Roman" w:hAnsi="Times New Roman" w:eastAsia="宋体"/>
                <w:b/>
                <w:iCs/>
                <w:sz w:val="20"/>
                <w:szCs w:val="20"/>
              </w:rPr>
              <w:t>#2</w:t>
            </w:r>
          </w:p>
          <w:p>
            <w:pPr>
              <w:adjustRightInd w:val="0"/>
              <w:snapToGrid w:val="0"/>
              <w:spacing w:after="0" w:line="240" w:lineRule="exact"/>
              <w:rPr>
                <w:rFonts w:ascii="Times New Roman" w:hAnsi="Times New Roman" w:eastAsia="Batang"/>
                <w:sz w:val="20"/>
                <w:szCs w:val="20"/>
                <w:lang w:val="en-GB" w:eastAsia="en-US"/>
              </w:rPr>
            </w:pPr>
            <w:r>
              <w:rPr>
                <w:rFonts w:ascii="Times New Roman" w:hAnsi="Times New Roman" w:eastAsia="Batang"/>
                <w:sz w:val="20"/>
                <w:szCs w:val="20"/>
                <w:lang w:val="en-GB" w:eastAsia="en-US"/>
              </w:rPr>
              <w:t>For a CMR pair configured for a NCJT measurement hypothesis, study following Alternatives:</w:t>
            </w:r>
          </w:p>
          <w:p>
            <w:pPr>
              <w:numPr>
                <w:ilvl w:val="0"/>
                <w:numId w:val="4"/>
              </w:numPr>
              <w:adjustRightInd w:val="0"/>
              <w:snapToGrid w:val="0"/>
              <w:spacing w:after="0" w:line="240" w:lineRule="exact"/>
              <w:rPr>
                <w:rFonts w:ascii="Times New Roman" w:hAnsi="Times New Roman" w:eastAsia="Batang"/>
                <w:sz w:val="20"/>
                <w:szCs w:val="20"/>
                <w:lang w:val="en-GB" w:eastAsia="en-US"/>
              </w:rPr>
            </w:pPr>
            <w:r>
              <w:rPr>
                <w:rFonts w:ascii="Times New Roman" w:hAnsi="Times New Roman" w:eastAsia="Batang"/>
                <w:sz w:val="20"/>
                <w:szCs w:val="20"/>
                <w:lang w:val="en-GB" w:eastAsia="en-US"/>
              </w:rPr>
              <w:t xml:space="preserve">Alt 1: a separate </w:t>
            </w:r>
            <w:r>
              <w:rPr>
                <w:rFonts w:ascii="Times New Roman" w:hAnsi="Times New Roman" w:eastAsia="Batang"/>
                <w:i/>
                <w:iCs/>
                <w:sz w:val="20"/>
                <w:szCs w:val="20"/>
                <w:lang w:val="en-GB" w:eastAsia="en-US"/>
              </w:rPr>
              <w:t>powerControlOffset</w:t>
            </w:r>
            <w:r>
              <w:rPr>
                <w:rFonts w:ascii="Times New Roman" w:hAnsi="Times New Roman" w:eastAsia="Batang"/>
                <w:sz w:val="20"/>
                <w:szCs w:val="20"/>
                <w:lang w:val="en-GB" w:eastAsia="en-US"/>
              </w:rPr>
              <w:t xml:space="preserve"> (Pc ratio) shall be configured for the NCJT measurement hypothesis by re-defining such Pc ratio as 10log</w:t>
            </w:r>
            <w:r>
              <w:rPr>
                <w:rFonts w:ascii="Times New Roman" w:hAnsi="Times New Roman" w:eastAsia="Batang"/>
                <w:sz w:val="20"/>
                <w:szCs w:val="20"/>
                <w:vertAlign w:val="subscript"/>
                <w:lang w:val="en-GB" w:eastAsia="en-US"/>
              </w:rPr>
              <w:t>10</w:t>
            </w:r>
            <w:r>
              <w:rPr>
                <w:rFonts w:ascii="Times New Roman" w:hAnsi="Times New Roman" w:eastAsia="Batang"/>
                <w:sz w:val="20"/>
                <w:szCs w:val="20"/>
                <w:lang w:val="en-GB" w:eastAsia="en-US"/>
              </w:rPr>
              <w:t>(P_PDSCH/P_CSIRS) dB, whereas</w:t>
            </w:r>
          </w:p>
          <w:p>
            <w:pPr>
              <w:numPr>
                <w:ilvl w:val="1"/>
                <w:numId w:val="4"/>
              </w:numPr>
              <w:adjustRightInd w:val="0"/>
              <w:snapToGrid w:val="0"/>
              <w:spacing w:after="0" w:line="240" w:lineRule="exact"/>
              <w:ind w:hanging="363"/>
              <w:rPr>
                <w:rFonts w:ascii="Times New Roman" w:hAnsi="Times New Roman" w:eastAsia="Batang"/>
                <w:sz w:val="20"/>
                <w:szCs w:val="20"/>
                <w:lang w:val="en-GB" w:eastAsia="en-US"/>
              </w:rPr>
            </w:pPr>
            <w:r>
              <w:rPr>
                <w:rFonts w:ascii="Times New Roman" w:hAnsi="Times New Roman" w:eastAsia="Batang"/>
                <w:sz w:val="20"/>
                <w:szCs w:val="20"/>
                <w:lang w:val="en-GB" w:eastAsia="en-US"/>
              </w:rPr>
              <w:t>P_PDSCH is the energy of PDSCH ports with a same TCI state as the CMR on one subcarrier of one OFDM symbol</w:t>
            </w:r>
          </w:p>
          <w:p>
            <w:pPr>
              <w:numPr>
                <w:ilvl w:val="1"/>
                <w:numId w:val="4"/>
              </w:numPr>
              <w:adjustRightInd w:val="0"/>
              <w:snapToGrid w:val="0"/>
              <w:spacing w:after="0" w:line="240" w:lineRule="exact"/>
              <w:ind w:hanging="363"/>
              <w:rPr>
                <w:rFonts w:ascii="Times New Roman" w:hAnsi="Times New Roman" w:eastAsia="Batang"/>
                <w:sz w:val="20"/>
                <w:szCs w:val="20"/>
                <w:lang w:val="en-GB" w:eastAsia="en-US"/>
              </w:rPr>
            </w:pPr>
            <w:r>
              <w:rPr>
                <w:rFonts w:ascii="Times New Roman" w:hAnsi="Times New Roman" w:eastAsia="Batang"/>
                <w:sz w:val="20"/>
                <w:szCs w:val="20"/>
                <w:lang w:val="en-GB" w:eastAsia="en-US"/>
              </w:rPr>
              <w:t>P_CSIRS is the energy of all CSI-RS ports of the CMR multiplexed on one subcarrier of one OFDM symbol</w:t>
            </w:r>
          </w:p>
          <w:p>
            <w:pPr>
              <w:numPr>
                <w:ilvl w:val="0"/>
                <w:numId w:val="4"/>
              </w:numPr>
              <w:adjustRightInd w:val="0"/>
              <w:snapToGrid w:val="0"/>
              <w:spacing w:after="0" w:line="240" w:lineRule="exact"/>
              <w:ind w:hanging="363"/>
              <w:rPr>
                <w:rFonts w:ascii="Times New Roman" w:hAnsi="Times New Roman" w:eastAsia="Batang"/>
                <w:sz w:val="20"/>
                <w:szCs w:val="20"/>
                <w:lang w:val="en-GB" w:eastAsia="en-US"/>
              </w:rPr>
            </w:pPr>
            <w:r>
              <w:rPr>
                <w:rFonts w:ascii="Times New Roman" w:hAnsi="Times New Roman" w:eastAsia="Batang"/>
                <w:sz w:val="20"/>
                <w:szCs w:val="20"/>
                <w:lang w:val="en-GB" w:eastAsia="en-US"/>
              </w:rPr>
              <w:t>Alt 2: re-interpret two Pc ratios configured for the CMR pair for the NCJT measurement hypothesis, FFS detailed impact of specification</w:t>
            </w:r>
          </w:p>
          <w:p>
            <w:pPr>
              <w:numPr>
                <w:ilvl w:val="0"/>
                <w:numId w:val="4"/>
              </w:numPr>
              <w:adjustRightInd w:val="0"/>
              <w:snapToGrid w:val="0"/>
              <w:spacing w:after="0" w:line="240" w:lineRule="exact"/>
              <w:ind w:hanging="363"/>
              <w:rPr>
                <w:rFonts w:ascii="Times New Roman" w:hAnsi="Times New Roman" w:eastAsia="Batang"/>
                <w:sz w:val="20"/>
                <w:szCs w:val="20"/>
                <w:lang w:val="en-GB" w:eastAsia="en-US"/>
              </w:rPr>
            </w:pPr>
            <w:r>
              <w:rPr>
                <w:rFonts w:ascii="Times New Roman" w:hAnsi="Times New Roman" w:eastAsia="Batang"/>
                <w:sz w:val="20"/>
                <w:szCs w:val="20"/>
                <w:lang w:val="en-GB" w:eastAsia="en-US"/>
              </w:rPr>
              <w:t>Alt 3: No change to definition or configuration of Pc ratio</w:t>
            </w:r>
          </w:p>
          <w:p>
            <w:pPr>
              <w:adjustRightInd w:val="0"/>
              <w:snapToGrid w:val="0"/>
              <w:spacing w:line="240" w:lineRule="exact"/>
              <w:rPr>
                <w:rFonts w:ascii="Times New Roman" w:hAnsi="Times New Roman" w:eastAsia="Times New Roman"/>
                <w:color w:val="000000"/>
                <w:kern w:val="2"/>
                <w:sz w:val="20"/>
                <w:szCs w:val="20"/>
              </w:rPr>
            </w:pPr>
            <w:r>
              <w:rPr>
                <w:rFonts w:ascii="Times New Roman" w:hAnsi="Times New Roman" w:eastAsia="Batang"/>
                <w:sz w:val="20"/>
                <w:szCs w:val="20"/>
                <w:lang w:val="en-GB" w:eastAsia="en-US"/>
              </w:rPr>
              <w:t>Note that other solutions are not excluded.</w:t>
            </w:r>
          </w:p>
        </w:tc>
      </w:tr>
    </w:tbl>
    <w:p>
      <w:pPr>
        <w:widowControl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I</w:t>
      </w:r>
      <w:r>
        <w:rPr>
          <w:rFonts w:ascii="Times New Roman" w:hAnsi="Times New Roman" w:eastAsia="宋体"/>
          <w:sz w:val="20"/>
          <w:szCs w:val="20"/>
          <w:lang w:eastAsia="en-US"/>
        </w:rPr>
        <w:t xml:space="preserve">n </w:t>
      </w:r>
      <w:r>
        <w:rPr>
          <w:rFonts w:hint="eastAsia" w:ascii="Times New Roman" w:hAnsi="Times New Roman" w:eastAsia="宋体"/>
          <w:sz w:val="20"/>
          <w:szCs w:val="20"/>
        </w:rPr>
        <w:t>section5.2.2.3</w:t>
      </w:r>
      <w:r>
        <w:rPr>
          <w:rFonts w:ascii="Times New Roman" w:hAnsi="Times New Roman" w:eastAsia="宋体"/>
          <w:sz w:val="20"/>
          <w:szCs w:val="20"/>
          <w:lang w:eastAsia="en-US"/>
        </w:rPr>
        <w:t xml:space="preserve"> of [38.21</w:t>
      </w:r>
      <w:r>
        <w:rPr>
          <w:rFonts w:hint="eastAsia" w:ascii="Times New Roman" w:hAnsi="Times New Roman" w:eastAsia="宋体"/>
          <w:sz w:val="20"/>
          <w:szCs w:val="20"/>
        </w:rPr>
        <w:t>4</w:t>
      </w:r>
      <w:r>
        <w:rPr>
          <w:rFonts w:ascii="Times New Roman" w:hAnsi="Times New Roman" w:eastAsia="宋体"/>
          <w:sz w:val="20"/>
          <w:szCs w:val="20"/>
          <w:lang w:eastAsia="en-US"/>
        </w:rPr>
        <w:t>]</w:t>
      </w:r>
      <w:r>
        <w:rPr>
          <w:rFonts w:hint="eastAsia" w:ascii="Times New Roman" w:hAnsi="Times New Roman" w:eastAsia="宋体"/>
          <w:sz w:val="20"/>
          <w:szCs w:val="20"/>
        </w:rPr>
        <w:t xml:space="preserve">, </w:t>
      </w:r>
      <w:r>
        <w:rPr>
          <w:rFonts w:ascii="Times New Roman" w:hAnsi="Times New Roman" w:eastAsia="宋体"/>
          <w:i/>
          <w:color w:val="000000"/>
          <w:kern w:val="2"/>
          <w:sz w:val="20"/>
          <w:szCs w:val="20"/>
        </w:rPr>
        <w:t>powerControlOffset</w:t>
      </w:r>
      <w:r>
        <w:rPr>
          <w:rFonts w:ascii="Times New Roman" w:hAnsi="Times New Roman" w:eastAsia="MS Mincho"/>
          <w:iCs/>
          <w:color w:val="000000"/>
          <w:kern w:val="2"/>
          <w:sz w:val="20"/>
          <w:szCs w:val="20"/>
          <w:lang w:eastAsia="ja-JP"/>
        </w:rPr>
        <w:t xml:space="preserve"> is the assumed ratio of PDSCH EPRE to </w:t>
      </w:r>
      <w:r>
        <w:rPr>
          <w:rFonts w:ascii="Times New Roman" w:hAnsi="Times New Roman" w:eastAsia="MS Mincho"/>
          <w:color w:val="000000"/>
          <w:kern w:val="2"/>
          <w:sz w:val="20"/>
          <w:szCs w:val="20"/>
          <w:lang w:eastAsia="ja-JP"/>
        </w:rPr>
        <w:t xml:space="preserve">NZP </w:t>
      </w:r>
      <w:r>
        <w:rPr>
          <w:rFonts w:ascii="Times New Roman" w:hAnsi="Times New Roman" w:eastAsia="MS Mincho"/>
          <w:iCs/>
          <w:color w:val="000000"/>
          <w:kern w:val="2"/>
          <w:sz w:val="20"/>
          <w:szCs w:val="20"/>
          <w:lang w:eastAsia="ja-JP"/>
        </w:rPr>
        <w:t>CSI-RS EPRE when UE derives CSI feedback and takes values in the range of [-8, 15] dB with 1 dB step size.</w:t>
      </w:r>
      <w:r>
        <w:rPr>
          <w:rFonts w:hint="eastAsia" w:ascii="Times New Roman" w:hAnsi="Times New Roman" w:eastAsia="宋体"/>
          <w:iCs/>
          <w:color w:val="000000"/>
          <w:kern w:val="2"/>
          <w:sz w:val="20"/>
          <w:szCs w:val="20"/>
        </w:rPr>
        <w:t xml:space="preserve"> T</w:t>
      </w:r>
      <w:r>
        <w:rPr>
          <w:rFonts w:ascii="Times New Roman" w:hAnsi="Times New Roman" w:eastAsia="MS Mincho"/>
          <w:iCs/>
          <w:color w:val="000000"/>
          <w:kern w:val="2"/>
          <w:sz w:val="20"/>
          <w:szCs w:val="20"/>
          <w:lang w:eastAsia="ja-JP"/>
        </w:rPr>
        <w:t>he assumed ratio</w:t>
      </w:r>
      <w:r>
        <w:rPr>
          <w:rFonts w:hint="eastAsia" w:ascii="Times New Roman" w:hAnsi="Times New Roman" w:eastAsia="宋体"/>
          <w:iCs/>
          <w:color w:val="000000"/>
          <w:kern w:val="2"/>
          <w:sz w:val="20"/>
          <w:szCs w:val="20"/>
        </w:rPr>
        <w:t xml:space="preserve"> Pc configured per CSI-RS resource is intended for </w:t>
      </w:r>
      <w:r>
        <w:rPr>
          <w:rFonts w:ascii="Times New Roman" w:hAnsi="Times New Roman" w:eastAsia="宋体"/>
          <w:sz w:val="20"/>
          <w:szCs w:val="20"/>
        </w:rPr>
        <w:t>CQI calculation</w:t>
      </w:r>
      <w:r>
        <w:rPr>
          <w:rFonts w:hint="eastAsia" w:ascii="Times New Roman" w:hAnsi="Times New Roman" w:eastAsia="宋体"/>
          <w:sz w:val="20"/>
          <w:szCs w:val="20"/>
        </w:rPr>
        <w:t xml:space="preserve">. </w:t>
      </w:r>
    </w:p>
    <w:p>
      <w:pPr>
        <w:widowControl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In Alt 1, </w:t>
      </w:r>
      <w:r>
        <w:rPr>
          <w:rFonts w:ascii="Times New Roman" w:hAnsi="Times New Roman" w:eastAsia="宋体"/>
          <w:sz w:val="20"/>
          <w:szCs w:val="20"/>
        </w:rPr>
        <w:t xml:space="preserve">for each of paired CMRs, </w:t>
      </w:r>
      <w:r>
        <w:rPr>
          <w:rFonts w:ascii="Times New Roman" w:hAnsi="Times New Roman" w:eastAsia="Batang"/>
          <w:sz w:val="20"/>
          <w:szCs w:val="20"/>
          <w:lang w:val="en-GB" w:eastAsia="en-US"/>
        </w:rPr>
        <w:t xml:space="preserve">a separate </w:t>
      </w:r>
      <w:r>
        <w:rPr>
          <w:rFonts w:ascii="Times New Roman" w:hAnsi="Times New Roman" w:eastAsia="Batang"/>
          <w:i/>
          <w:iCs/>
          <w:sz w:val="20"/>
          <w:szCs w:val="20"/>
          <w:lang w:val="en-GB" w:eastAsia="en-US"/>
        </w:rPr>
        <w:t>powerControlOffset</w:t>
      </w:r>
      <w:r>
        <w:rPr>
          <w:rFonts w:hint="eastAsia" w:ascii="Times New Roman" w:hAnsi="Times New Roman" w:eastAsia="宋体"/>
          <w:i/>
          <w:iCs/>
          <w:sz w:val="20"/>
          <w:szCs w:val="20"/>
        </w:rPr>
        <w:t xml:space="preserve"> </w:t>
      </w:r>
      <w:r>
        <w:rPr>
          <w:rFonts w:ascii="Times New Roman" w:hAnsi="Times New Roman" w:eastAsia="Batang"/>
          <w:sz w:val="20"/>
          <w:szCs w:val="20"/>
          <w:lang w:val="en-GB" w:eastAsia="en-US"/>
        </w:rPr>
        <w:t>on top of the existing parameter will be introduced for the NCJT measurement hypothesis.</w:t>
      </w:r>
      <w:r>
        <w:rPr>
          <w:rFonts w:hint="eastAsia" w:ascii="Times New Roman" w:hAnsi="Times New Roman" w:eastAsia="宋体"/>
          <w:sz w:val="20"/>
          <w:szCs w:val="20"/>
        </w:rPr>
        <w:t xml:space="preserve"> </w:t>
      </w:r>
      <w:r>
        <w:rPr>
          <w:rFonts w:ascii="Times New Roman" w:hAnsi="Times New Roman" w:eastAsia="宋体"/>
          <w:sz w:val="20"/>
          <w:szCs w:val="20"/>
        </w:rPr>
        <w:t xml:space="preserve">This </w:t>
      </w:r>
      <w:r>
        <w:rPr>
          <w:rFonts w:hint="eastAsia" w:ascii="Times New Roman" w:hAnsi="Times New Roman" w:eastAsia="宋体"/>
          <w:sz w:val="20"/>
          <w:szCs w:val="20"/>
        </w:rPr>
        <w:t>increase</w:t>
      </w:r>
      <w:r>
        <w:rPr>
          <w:rFonts w:ascii="Times New Roman" w:hAnsi="Times New Roman" w:eastAsia="宋体"/>
          <w:sz w:val="20"/>
          <w:szCs w:val="20"/>
        </w:rPr>
        <w:t>s</w:t>
      </w:r>
      <w:r>
        <w:rPr>
          <w:rFonts w:hint="eastAsia" w:ascii="Times New Roman" w:hAnsi="Times New Roman" w:eastAsia="宋体"/>
          <w:sz w:val="20"/>
          <w:szCs w:val="20"/>
        </w:rPr>
        <w:t xml:space="preserve"> signaling overhead</w:t>
      </w:r>
      <w:r>
        <w:rPr>
          <w:rFonts w:ascii="Times New Roman" w:hAnsi="Times New Roman" w:eastAsia="宋体"/>
          <w:sz w:val="20"/>
          <w:szCs w:val="20"/>
        </w:rPr>
        <w:t xml:space="preserve"> but the motivation is unclear to us</w:t>
      </w:r>
      <w:r>
        <w:rPr>
          <w:rFonts w:hint="eastAsia" w:ascii="Times New Roman" w:hAnsi="Times New Roman" w:eastAsia="宋体"/>
          <w:sz w:val="20"/>
          <w:szCs w:val="20"/>
        </w:rPr>
        <w:t>.</w:t>
      </w:r>
      <w:r>
        <w:rPr>
          <w:rFonts w:ascii="Times New Roman" w:hAnsi="Times New Roman" w:eastAsia="宋体"/>
          <w:sz w:val="20"/>
          <w:szCs w:val="20"/>
        </w:rPr>
        <w:t xml:space="preserve"> From our view, for one TRP, the transmission power ratio between the respecting PDSCH and CSI-RS (CMR) should be constant regardless of STRP or NCJT as UE has to select one of best CSI hypothesis between STRP and NCJT after fair comparison for the agreed NCJT CSI reporting Option 2. Hence, the existing Pc ratio should be sufficient for both sTRP and NCJT CSI calculation.</w:t>
      </w:r>
      <w:r>
        <w:rPr>
          <w:rFonts w:hint="eastAsia" w:ascii="Times New Roman" w:hAnsi="Times New Roman" w:eastAsia="宋体"/>
          <w:sz w:val="20"/>
          <w:szCs w:val="20"/>
        </w:rPr>
        <w:t xml:space="preserve"> </w:t>
      </w:r>
      <w:r>
        <w:rPr>
          <w:rFonts w:ascii="Times New Roman" w:hAnsi="Times New Roman" w:eastAsia="宋体"/>
          <w:sz w:val="20"/>
          <w:szCs w:val="20"/>
        </w:rPr>
        <w:t xml:space="preserve">It is not needed to have multiple definitions for Pc of one CSI-RS resource. In fact, to have multiple definitions for Pc of one CSI-RS resource may bring negative impact as discussed above. </w:t>
      </w:r>
      <w:r>
        <w:rPr>
          <w:rFonts w:hint="eastAsia" w:ascii="Times New Roman" w:hAnsi="Times New Roman" w:eastAsia="宋体"/>
          <w:sz w:val="20"/>
          <w:szCs w:val="20"/>
        </w:rPr>
        <w:t xml:space="preserve">The only necessity is to change the CQI calculation procedure in 38.214 section 5.2.2.5 to clarify the PDSCH layer and precoding matrix are associated with the respective CSI-RS. </w:t>
      </w:r>
    </w:p>
    <w:p>
      <w:pPr>
        <w:widowControl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Alt</w:t>
      </w:r>
      <w:r>
        <w:rPr>
          <w:rFonts w:hint="eastAsia" w:ascii="Times New Roman" w:hAnsi="Times New Roman" w:eastAsia="宋体"/>
          <w:sz w:val="20"/>
          <w:szCs w:val="20"/>
        </w:rPr>
        <w:t xml:space="preserve"> 2</w:t>
      </w:r>
      <w:r>
        <w:rPr>
          <w:rFonts w:ascii="Times New Roman" w:hAnsi="Times New Roman" w:eastAsia="宋体"/>
          <w:sz w:val="20"/>
          <w:szCs w:val="20"/>
        </w:rPr>
        <w:t xml:space="preserve"> is more aligned with LTE FeCoMP in which two CMRs are supported, CRI = 0, 1, 2 correspond to CMR1, CMR2 and CMR pair {1, 2}</w:t>
      </w:r>
      <w:r>
        <w:rPr>
          <w:rFonts w:hint="eastAsia" w:ascii="Times New Roman" w:hAnsi="Times New Roman" w:eastAsia="宋体"/>
          <w:sz w:val="20"/>
          <w:szCs w:val="20"/>
        </w:rPr>
        <w:t xml:space="preserve"> respectively</w:t>
      </w:r>
      <w:r>
        <w:rPr>
          <w:rFonts w:ascii="Times New Roman" w:hAnsi="Times New Roman" w:eastAsia="宋体"/>
          <w:sz w:val="20"/>
          <w:szCs w:val="20"/>
        </w:rPr>
        <w:t xml:space="preserve">, and one Pc ratio is shared for both </w:t>
      </w:r>
      <w:r>
        <w:rPr>
          <w:rFonts w:hint="eastAsia" w:ascii="Times New Roman" w:hAnsi="Times New Roman" w:eastAsia="宋体"/>
          <w:sz w:val="20"/>
          <w:szCs w:val="20"/>
        </w:rPr>
        <w:t>S</w:t>
      </w:r>
      <w:r>
        <w:rPr>
          <w:rFonts w:ascii="Times New Roman" w:hAnsi="Times New Roman" w:eastAsia="宋体"/>
          <w:sz w:val="20"/>
          <w:szCs w:val="20"/>
        </w:rPr>
        <w:t>TRP and NCJT</w:t>
      </w:r>
      <w:r>
        <w:rPr>
          <w:rFonts w:hint="eastAsia" w:ascii="Times New Roman" w:hAnsi="Times New Roman" w:eastAsia="宋体"/>
          <w:sz w:val="20"/>
          <w:szCs w:val="20"/>
        </w:rPr>
        <w:t xml:space="preserve"> for each CMR</w:t>
      </w:r>
      <w:r>
        <w:rPr>
          <w:rFonts w:ascii="Times New Roman" w:hAnsi="Times New Roman" w:eastAsia="宋体"/>
          <w:sz w:val="20"/>
          <w:szCs w:val="20"/>
        </w:rPr>
        <w:t xml:space="preserve">. The </w:t>
      </w:r>
      <w:r>
        <w:rPr>
          <w:rFonts w:hint="eastAsia" w:ascii="Times New Roman" w:hAnsi="Times New Roman" w:eastAsia="宋体"/>
          <w:sz w:val="20"/>
          <w:szCs w:val="20"/>
        </w:rPr>
        <w:t xml:space="preserve">detailed </w:t>
      </w:r>
      <w:r>
        <w:rPr>
          <w:rFonts w:ascii="Times New Roman" w:hAnsi="Times New Roman" w:eastAsia="宋体"/>
          <w:sz w:val="20"/>
          <w:szCs w:val="20"/>
        </w:rPr>
        <w:t>description of LTE FeCoMP can be found in Appendix</w:t>
      </w:r>
      <w:r>
        <w:rPr>
          <w:rFonts w:hint="eastAsia" w:ascii="Times New Roman" w:hAnsi="Times New Roman" w:eastAsia="宋体"/>
          <w:sz w:val="20"/>
          <w:szCs w:val="20"/>
        </w:rPr>
        <w:t xml:space="preserve">. Basically, Pc for NCJT is assumed as the power ratio between PDSCH and CSI-RS from the same TRP. </w:t>
      </w:r>
    </w:p>
    <w:p>
      <w:pPr>
        <w:widowControl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Therefore, we propose to adopt Alt 2 and change the description of section</w:t>
      </w:r>
      <w:r>
        <w:rPr>
          <w:rFonts w:ascii="Times New Roman" w:hAnsi="Times New Roman" w:eastAsia="宋体"/>
          <w:sz w:val="20"/>
          <w:szCs w:val="20"/>
        </w:rPr>
        <w:t xml:space="preserve"> </w:t>
      </w:r>
      <w:r>
        <w:rPr>
          <w:rFonts w:hint="eastAsia" w:ascii="Times New Roman" w:hAnsi="Times New Roman" w:eastAsia="宋体"/>
          <w:sz w:val="20"/>
          <w:szCs w:val="20"/>
        </w:rPr>
        <w:t>5.2.2.5</w:t>
      </w:r>
      <w:r>
        <w:rPr>
          <w:rFonts w:ascii="Times New Roman" w:hAnsi="Times New Roman" w:eastAsia="宋体"/>
          <w:sz w:val="20"/>
          <w:szCs w:val="20"/>
          <w:lang w:eastAsia="en-US"/>
        </w:rPr>
        <w:t xml:space="preserve"> of [38.21</w:t>
      </w:r>
      <w:r>
        <w:rPr>
          <w:rFonts w:hint="eastAsia" w:ascii="Times New Roman" w:hAnsi="Times New Roman" w:eastAsia="宋体"/>
          <w:sz w:val="20"/>
          <w:szCs w:val="20"/>
        </w:rPr>
        <w:t>4</w:t>
      </w:r>
      <w:r>
        <w:rPr>
          <w:rFonts w:ascii="Times New Roman" w:hAnsi="Times New Roman" w:eastAsia="宋体"/>
          <w:sz w:val="20"/>
          <w:szCs w:val="20"/>
          <w:lang w:eastAsia="en-US"/>
        </w:rPr>
        <w:t>]</w:t>
      </w:r>
      <w:r>
        <w:rPr>
          <w:rFonts w:hint="eastAsia" w:ascii="Times New Roman" w:hAnsi="Times New Roman" w:eastAsia="宋体"/>
          <w:sz w:val="20"/>
          <w:szCs w:val="20"/>
        </w:rPr>
        <w:t xml:space="preserve"> for CQI calculation. Here is our suggested text proposal</w:t>
      </w:r>
      <w:r>
        <w:rPr>
          <w:rFonts w:ascii="Times New Roman" w:hAnsi="Times New Roman" w:eastAsia="宋体"/>
          <w:sz w:val="20"/>
          <w:szCs w:val="20"/>
        </w:rPr>
        <w:t>, the red text is newly added</w:t>
      </w:r>
      <w:r>
        <w:rPr>
          <w:rFonts w:hint="eastAsia" w:ascii="Times New Roman" w:hAnsi="Times New Roman" w:eastAsia="宋体"/>
          <w:sz w:val="20"/>
          <w:szCs w:val="20"/>
        </w:rPr>
        <w:t>:</w:t>
      </w:r>
    </w:p>
    <w:p>
      <w:pPr>
        <w:widowControl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Text proposal for 38.214 section 5.2.2.5 -------------------------------------------------</w:t>
      </w:r>
    </w:p>
    <w:p>
      <w:pPr>
        <w:pStyle w:val="26"/>
        <w:spacing w:beforeAutospacing="1" w:after="180"/>
        <w:ind w:left="568" w:hanging="284"/>
        <w:rPr>
          <w:rFonts w:ascii="Times New Roman" w:hAnsi="Times New Roman" w:eastAsia="宋体" w:cs="Times New Roman"/>
          <w:sz w:val="20"/>
          <w:szCs w:val="20"/>
        </w:rPr>
      </w:pPr>
      <w:r>
        <w:rPr>
          <w:rFonts w:ascii="Times New Roman" w:hAnsi="Times New Roman" w:eastAsia="宋体" w:cs="Times New Roman"/>
          <w:sz w:val="20"/>
          <w:szCs w:val="20"/>
          <w:lang w:bidi="ar"/>
        </w:rPr>
        <w:t>-</w:t>
      </w: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The PDSCH transmission scheme where the UE may assume that PDSCH transmission would be performed with up to 8 transmission layers as defined in Clause 7.3.1.4 of [4, TS 38.211].</w:t>
      </w:r>
      <w:r>
        <w:rPr>
          <w:rFonts w:hint="eastAsia" w:ascii="Times New Roman" w:hAnsi="Times New Roman" w:eastAsia="宋体" w:cs="Times New Roman"/>
          <w:sz w:val="20"/>
          <w:szCs w:val="20"/>
          <w:lang w:bidi="ar"/>
        </w:rPr>
        <w:t xml:space="preserve"> </w:t>
      </w:r>
      <w:r>
        <w:rPr>
          <w:rFonts w:ascii="Times New Roman" w:hAnsi="Times New Roman" w:eastAsia="宋体" w:cs="Times New Roman"/>
          <w:sz w:val="20"/>
          <w:szCs w:val="20"/>
          <w:lang w:bidi="ar"/>
        </w:rPr>
        <w:t>For CQI calculation, the UE should assume that PDSCH signals on antenna ports in the set [1000,…, 1000+ν-1] for ν layers would result in signals equivalent to corresponding symbols transmitted on antenna ports [3000,…, 3000+</w:t>
      </w:r>
      <w:r>
        <w:rPr>
          <w:rFonts w:ascii="Times New Roman" w:hAnsi="Times New Roman" w:eastAsia="宋体" w:cs="Times New Roman"/>
          <w:i/>
          <w:sz w:val="20"/>
          <w:szCs w:val="20"/>
          <w:lang w:bidi="ar"/>
        </w:rPr>
        <w:t>P</w:t>
      </w:r>
      <w:r>
        <w:rPr>
          <w:rFonts w:ascii="Times New Roman" w:hAnsi="Times New Roman" w:eastAsia="宋体" w:cs="Times New Roman"/>
          <w:sz w:val="20"/>
          <w:szCs w:val="20"/>
          <w:lang w:bidi="ar"/>
        </w:rPr>
        <w:t>-1], as given by</w:t>
      </w:r>
    </w:p>
    <w:p>
      <w:pPr>
        <w:pStyle w:val="26"/>
        <w:keepLines/>
        <w:widowControl w:val="0"/>
        <w:spacing w:beforeAutospacing="1" w:after="180"/>
        <w:rPr>
          <w:rFonts w:ascii="Times New Roman" w:hAnsi="Times New Roman" w:eastAsia="宋体" w:cs="Times New Roman"/>
          <w:sz w:val="20"/>
          <w:szCs w:val="20"/>
        </w:rPr>
      </w:pPr>
      <w:r>
        <w:rPr>
          <w:rFonts w:ascii="Times New Roman" w:hAnsi="Times New Roman" w:eastAsia="宋体" w:cs="Times New Roman"/>
          <w:sz w:val="20"/>
          <w:szCs w:val="20"/>
          <w:lang w:bidi="ar"/>
        </w:rPr>
        <w:tab/>
      </w:r>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ctrlPr>
                      <w:rPr>
                        <w:rFonts w:ascii="Cambria Math" w:hAnsi="Cambria Math"/>
                      </w:rPr>
                    </m:ctrlPr>
                  </m:e>
                  <m:sup>
                    <m:d>
                      <m:dPr>
                        <m:ctrlPr>
                          <w:rPr>
                            <w:rFonts w:ascii="Cambria Math" w:hAnsi="Cambria Math"/>
                          </w:rPr>
                        </m:ctrlPr>
                      </m:dPr>
                      <m:e>
                        <m:r>
                          <m:rPr>
                            <m:sty m:val="p"/>
                          </m:rPr>
                          <w:rPr>
                            <w:rFonts w:ascii="Cambria Math" w:hAnsi="Cambria Math"/>
                          </w:rPr>
                          <m:t>3000</m:t>
                        </m:r>
                        <m:ctrlPr>
                          <w:rPr>
                            <w:rFonts w:ascii="Cambria Math" w:hAnsi="Cambria Math"/>
                          </w:rPr>
                        </m:ctrlPr>
                      </m:e>
                    </m:d>
                    <m:ctrlPr>
                      <w:rPr>
                        <w:rFonts w:ascii="Cambria Math" w:hAnsi="Cambria Math"/>
                      </w:rPr>
                    </m:ctrlPr>
                  </m:sup>
                </m:sSup>
                <m:r>
                  <m:rPr>
                    <m:sty m:val="p"/>
                  </m:rPr>
                  <w:rPr>
                    <w:rFonts w:ascii="Cambria Math" w:hAnsi="Cambria Math"/>
                  </w:rPr>
                  <m:t>(</m:t>
                </m:r>
                <m:r>
                  <w:rPr>
                    <w:rFonts w:ascii="Cambria Math" w:hAnsi="Cambria Math"/>
                  </w:rPr>
                  <m:t>i</m:t>
                </m:r>
                <m:r>
                  <m:rPr>
                    <m:sty m:val="p"/>
                  </m:rPr>
                  <w:rPr>
                    <w:rFonts w:ascii="Cambria Math" w:hAnsi="Cambria Math"/>
                  </w:rPr>
                  <m:t>)</m:t>
                </m:r>
                <m:ctrlPr>
                  <w:rPr>
                    <w:rFonts w:ascii="Cambria Math" w:hAnsi="Cambria Math"/>
                  </w:rPr>
                </m:ctrlPr>
              </m:e>
              <m:e>
                <m:r>
                  <m:rPr>
                    <m:sty m:val="p"/>
                  </m:rPr>
                  <w:rPr>
                    <w:rFonts w:ascii="Cambria Math" w:hAnsi="Cambria Math"/>
                  </w:rPr>
                  <m:t>⋯</m:t>
                </m:r>
                <m:ctrlPr>
                  <w:rPr>
                    <w:rFonts w:ascii="Cambria Math" w:hAnsi="Cambria Math" w:eastAsia="Cambria Math" w:cs="Cambria Math"/>
                  </w:rPr>
                </m:ctrlPr>
              </m:e>
              <m:e>
                <m:sSup>
                  <m:sSupPr>
                    <m:ctrlPr>
                      <w:rPr>
                        <w:rFonts w:ascii="Cambria Math" w:hAnsi="Cambria Math"/>
                      </w:rPr>
                    </m:ctrlPr>
                  </m:sSupPr>
                  <m:e>
                    <m:r>
                      <w:rPr>
                        <w:rFonts w:ascii="Cambria Math" w:hAnsi="Cambria Math"/>
                      </w:rPr>
                      <m:t>y</m:t>
                    </m:r>
                    <m:ctrlPr>
                      <w:rPr>
                        <w:rFonts w:ascii="Cambria Math" w:hAnsi="Cambria Math"/>
                      </w:rPr>
                    </m:ctrlPr>
                  </m:e>
                  <m:sup>
                    <m:d>
                      <m:dPr>
                        <m:ctrlPr>
                          <w:rPr>
                            <w:rFonts w:ascii="Cambria Math" w:hAnsi="Cambria Math"/>
                          </w:rPr>
                        </m:ctrlPr>
                      </m:dPr>
                      <m:e>
                        <m:r>
                          <m:rPr>
                            <m:sty m:val="p"/>
                          </m:rPr>
                          <w:rPr>
                            <w:rFonts w:ascii="Cambria Math" w:hAnsi="Cambria Math"/>
                          </w:rPr>
                          <m:t>3000+</m:t>
                        </m:r>
                        <m:r>
                          <w:rPr>
                            <w:rFonts w:ascii="Cambria Math" w:hAnsi="Cambria Math"/>
                          </w:rPr>
                          <m:t>P</m:t>
                        </m:r>
                        <m:r>
                          <m:rPr>
                            <m:sty m:val="p"/>
                          </m:rPr>
                          <w:rPr>
                            <w:rFonts w:ascii="Cambria Math" w:hAnsi="Cambria Math"/>
                          </w:rPr>
                          <m:t>-1</m:t>
                        </m:r>
                        <m:ctrlPr>
                          <w:rPr>
                            <w:rFonts w:ascii="Cambria Math" w:hAnsi="Cambria Math"/>
                          </w:rPr>
                        </m:ctrlPr>
                      </m:e>
                    </m:d>
                    <m:ctrlPr>
                      <w:rPr>
                        <w:rFonts w:ascii="Cambria Math" w:hAnsi="Cambria Math"/>
                      </w:rPr>
                    </m:ctrlPr>
                  </m:sup>
                </m:sSup>
                <m:r>
                  <m:rPr>
                    <m:sty m:val="p"/>
                  </m:rPr>
                  <w:rPr>
                    <w:rFonts w:ascii="Cambria Math" w:hAnsi="Cambria Math"/>
                  </w:rPr>
                  <m:t>(</m:t>
                </m:r>
                <m:r>
                  <w:rPr>
                    <w:rFonts w:ascii="Cambria Math" w:hAnsi="Cambria Math"/>
                  </w:rPr>
                  <m:t>i</m:t>
                </m:r>
                <m:r>
                  <m:rPr>
                    <m:sty m:val="p"/>
                  </m:rPr>
                  <w:rPr>
                    <w:rFonts w:ascii="Cambria Math" w:hAnsi="Cambria Math"/>
                  </w:rPr>
                  <m:t>)</m:t>
                </m:r>
                <m:ctrlPr>
                  <w:rPr>
                    <w:rFonts w:ascii="Cambria Math" w:hAnsi="Cambria Math"/>
                  </w:rPr>
                </m:ctrlPr>
              </m:e>
            </m:eqArr>
            <m:ctrlPr>
              <w:rPr>
                <w:rFonts w:ascii="Cambria Math" w:hAnsi="Cambria Math"/>
              </w:rPr>
            </m:ctrlPr>
          </m:e>
        </m:d>
        <m:r>
          <m:rPr>
            <m:sty m:val="p"/>
          </m:rPr>
          <w:rPr>
            <w:rFonts w:ascii="Cambria Math" w:hAnsi="Cambria Math"/>
          </w:rPr>
          <m:t>=</m:t>
        </m:r>
        <m:r>
          <w:rPr>
            <w:rFonts w:ascii="Cambria Math" w:hAnsi="Cambria Math"/>
          </w:rPr>
          <m:t>W</m:t>
        </m:r>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ctrlPr>
                      <w:rPr>
                        <w:rFonts w:ascii="Cambria Math" w:hAnsi="Cambria Math"/>
                      </w:rPr>
                    </m:ctrlPr>
                  </m:e>
                  <m:sup>
                    <m:d>
                      <m:dPr>
                        <m:ctrlPr>
                          <w:rPr>
                            <w:rFonts w:ascii="Cambria Math" w:hAnsi="Cambria Math"/>
                          </w:rPr>
                        </m:ctrlPr>
                      </m:dPr>
                      <m:e>
                        <m:r>
                          <m:rPr>
                            <m:sty m:val="p"/>
                          </m:rPr>
                          <w:rPr>
                            <w:rFonts w:ascii="Cambria Math" w:hAnsi="Cambria Math"/>
                          </w:rPr>
                          <m:t>0</m:t>
                        </m:r>
                        <m:ctrlPr>
                          <w:rPr>
                            <w:rFonts w:ascii="Cambria Math" w:hAnsi="Cambria Math"/>
                          </w:rPr>
                        </m:ctrlPr>
                      </m:e>
                    </m:d>
                    <m:ctrlPr>
                      <w:rPr>
                        <w:rFonts w:ascii="Cambria Math" w:hAnsi="Cambria Math"/>
                      </w:rPr>
                    </m:ctrlPr>
                  </m:sup>
                </m:sSup>
                <m:r>
                  <m:rPr>
                    <m:sty m:val="p"/>
                  </m:rPr>
                  <w:rPr>
                    <w:rFonts w:ascii="Cambria Math" w:hAnsi="Cambria Math"/>
                  </w:rPr>
                  <m:t>(</m:t>
                </m:r>
                <m:r>
                  <w:rPr>
                    <w:rFonts w:ascii="Cambria Math" w:hAnsi="Cambria Math"/>
                  </w:rPr>
                  <m:t>i</m:t>
                </m:r>
                <m:r>
                  <m:rPr>
                    <m:sty m:val="p"/>
                  </m:rPr>
                  <w:rPr>
                    <w:rFonts w:ascii="Cambria Math" w:hAnsi="Cambria Math"/>
                  </w:rPr>
                  <m:t>)</m:t>
                </m:r>
                <m:ctrlPr>
                  <w:rPr>
                    <w:rFonts w:ascii="Cambria Math" w:hAnsi="Cambria Math"/>
                  </w:rPr>
                </m:ctrlPr>
              </m:e>
              <m:e>
                <m:r>
                  <m:rPr>
                    <m:sty m:val="p"/>
                  </m:rPr>
                  <w:rPr>
                    <w:rFonts w:ascii="Cambria Math" w:hAnsi="Cambria Math"/>
                  </w:rPr>
                  <m:t>⋯</m:t>
                </m:r>
                <m:ctrlPr>
                  <w:rPr>
                    <w:rFonts w:ascii="Cambria Math" w:hAnsi="Cambria Math" w:eastAsia="Cambria Math" w:cs="Cambria Math"/>
                  </w:rPr>
                </m:ctrlPr>
              </m:e>
              <m:e>
                <m:sSup>
                  <m:sSupPr>
                    <m:ctrlPr>
                      <w:rPr>
                        <w:rFonts w:ascii="Cambria Math" w:hAnsi="Cambria Math"/>
                      </w:rPr>
                    </m:ctrlPr>
                  </m:sSupPr>
                  <m:e>
                    <m:r>
                      <w:rPr>
                        <w:rFonts w:ascii="Cambria Math" w:hAnsi="Cambria Math"/>
                      </w:rPr>
                      <m:t>x</m:t>
                    </m:r>
                    <m:ctrlPr>
                      <w:rPr>
                        <w:rFonts w:ascii="Cambria Math" w:hAnsi="Cambria Math"/>
                      </w:rPr>
                    </m:ctrlPr>
                  </m:e>
                  <m:sup>
                    <m:d>
                      <m:dPr>
                        <m:ctrlPr>
                          <w:rPr>
                            <w:rFonts w:ascii="Cambria Math" w:hAnsi="Cambria Math"/>
                          </w:rPr>
                        </m:ctrlPr>
                      </m:dPr>
                      <m:e>
                        <m:r>
                          <w:rPr>
                            <w:rFonts w:ascii="Cambria Math" w:hAnsi="Cambria Math"/>
                          </w:rPr>
                          <m:t>ν</m:t>
                        </m:r>
                        <m:r>
                          <m:rPr>
                            <m:sty m:val="p"/>
                          </m:rPr>
                          <w:rPr>
                            <w:rFonts w:ascii="Cambria Math" w:hAnsi="Cambria Math"/>
                          </w:rPr>
                          <m:t>-1</m:t>
                        </m:r>
                        <m:ctrlPr>
                          <w:rPr>
                            <w:rFonts w:ascii="Cambria Math" w:hAnsi="Cambria Math"/>
                          </w:rPr>
                        </m:ctrlPr>
                      </m:e>
                    </m:d>
                    <m:ctrlPr>
                      <w:rPr>
                        <w:rFonts w:ascii="Cambria Math" w:hAnsi="Cambria Math"/>
                      </w:rPr>
                    </m:ctrlPr>
                  </m:sup>
                </m:sSup>
                <m:r>
                  <m:rPr>
                    <m:sty m:val="p"/>
                  </m:rPr>
                  <w:rPr>
                    <w:rFonts w:ascii="Cambria Math" w:hAnsi="Cambria Math"/>
                  </w:rPr>
                  <m:t>(</m:t>
                </m:r>
                <m:r>
                  <w:rPr>
                    <w:rFonts w:ascii="Cambria Math" w:hAnsi="Cambria Math"/>
                  </w:rPr>
                  <m:t>i</m:t>
                </m:r>
                <m:r>
                  <m:rPr>
                    <m:sty m:val="p"/>
                  </m:rPr>
                  <w:rPr>
                    <w:rFonts w:ascii="Cambria Math" w:hAnsi="Cambria Math"/>
                  </w:rPr>
                  <m:t>)</m:t>
                </m:r>
                <m:ctrlPr>
                  <w:rPr>
                    <w:rFonts w:ascii="Cambria Math" w:hAnsi="Cambria Math"/>
                  </w:rPr>
                </m:ctrlPr>
              </m:e>
            </m:eqArr>
            <m:ctrlPr>
              <w:rPr>
                <w:rFonts w:ascii="Cambria Math" w:hAnsi="Cambria Math"/>
              </w:rPr>
            </m:ctrlPr>
          </m:e>
        </m:d>
      </m:oMath>
    </w:p>
    <w:p>
      <w:pPr>
        <w:pStyle w:val="26"/>
        <w:spacing w:beforeAutospacing="1" w:after="180"/>
        <w:ind w:left="595" w:leftChars="245" w:hanging="56" w:hangingChars="28"/>
        <w:rPr>
          <w:rFonts w:ascii="Times New Roman" w:hAnsi="Times New Roman" w:eastAsia="宋体" w:cs="Times New Roman"/>
          <w:sz w:val="20"/>
          <w:szCs w:val="20"/>
          <w:lang w:bidi="ar"/>
        </w:rPr>
      </w:pPr>
      <w:r>
        <w:rPr>
          <w:rFonts w:ascii="Times New Roman" w:hAnsi="Times New Roman" w:eastAsia="宋体" w:cs="Times New Roman"/>
          <w:sz w:val="20"/>
          <w:szCs w:val="20"/>
          <w:lang w:bidi="ar"/>
        </w:rPr>
        <w:tab/>
      </w:r>
      <w:r>
        <w:rPr>
          <w:rFonts w:ascii="Times New Roman" w:hAnsi="Times New Roman" w:eastAsia="宋体" w:cs="Times New Roman"/>
          <w:sz w:val="20"/>
          <w:szCs w:val="20"/>
          <w:lang w:bidi="ar"/>
        </w:rPr>
        <w:t xml:space="preserve">where </w:t>
      </w:r>
      <w:r>
        <w:rPr>
          <w:position w:val="-10"/>
        </w:rPr>
        <w:object>
          <v:shape id="_x0000_i1025" o:spt="75" type="#_x0000_t75" style="height:21.5pt;width:101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ascii="Times New Roman" w:hAnsi="Times New Roman" w:eastAsia="宋体" w:cs="Times New Roman"/>
          <w:sz w:val="20"/>
          <w:szCs w:val="20"/>
          <w:lang w:bidi="ar"/>
        </w:rPr>
        <w:t xml:space="preserve"> is a vector of PDSCH symbols from the layer mapping defined in Clause 7.3.1.4 of [4, TS 38.211], </w:t>
      </w:r>
      <w:r>
        <w:rPr>
          <w:position w:val="-8"/>
        </w:rPr>
        <w:object>
          <v:shape id="_x0000_i1026" o:spt="75" type="#_x0000_t75" style="height:13.95pt;width:101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ascii="Times New Roman" w:hAnsi="Times New Roman" w:eastAsia="宋体" w:cs="Times New Roman"/>
          <w:sz w:val="20"/>
          <w:szCs w:val="20"/>
          <w:lang w:bidi="ar"/>
        </w:rPr>
        <w:t xml:space="preserve"> is the number of CSI-RS ports. If only one CSI-RS port is configured, </w:t>
      </w:r>
      <w:r>
        <w:rPr>
          <w:rFonts w:ascii="Times New Roman" w:hAnsi="Times New Roman" w:eastAsia="宋体" w:cs="Times New Roman"/>
          <w:i/>
          <w:sz w:val="20"/>
          <w:szCs w:val="20"/>
          <w:lang w:bidi="ar"/>
        </w:rPr>
        <w:t>W(i)</w:t>
      </w:r>
      <w:r>
        <w:rPr>
          <w:rFonts w:ascii="Times New Roman" w:hAnsi="Times New Roman" w:eastAsia="宋体" w:cs="Times New Roman"/>
          <w:sz w:val="20"/>
          <w:szCs w:val="20"/>
          <w:lang w:bidi="ar"/>
        </w:rPr>
        <w:t xml:space="preserve"> is 1. </w:t>
      </w:r>
      <w:r>
        <w:rPr>
          <w:rFonts w:ascii="Times New Roman" w:hAnsi="Times New Roman" w:eastAsia="宋体" w:cs="Times New Roman"/>
          <w:color w:val="000000"/>
          <w:sz w:val="20"/>
          <w:szCs w:val="20"/>
          <w:lang w:bidi="ar"/>
        </w:rPr>
        <w:t xml:space="preserve">If the higher layer parameter </w:t>
      </w:r>
      <w:r>
        <w:rPr>
          <w:rFonts w:ascii="Times New Roman" w:hAnsi="Times New Roman" w:eastAsia="宋体" w:cs="Times New Roman"/>
          <w:i/>
          <w:color w:val="000000"/>
          <w:sz w:val="20"/>
          <w:szCs w:val="20"/>
          <w:lang w:bidi="ar"/>
        </w:rPr>
        <w:t>reportQuantity</w:t>
      </w:r>
      <w:r>
        <w:rPr>
          <w:rFonts w:ascii="Times New Roman" w:hAnsi="Times New Roman" w:eastAsia="宋体" w:cs="Times New Roman"/>
          <w:color w:val="000000"/>
          <w:sz w:val="20"/>
          <w:szCs w:val="20"/>
          <w:lang w:bidi="ar"/>
        </w:rPr>
        <w:t xml:space="preserve"> in </w:t>
      </w:r>
      <w:r>
        <w:rPr>
          <w:rFonts w:ascii="Times New Roman" w:hAnsi="Times New Roman" w:eastAsia="宋体" w:cs="Times New Roman"/>
          <w:i/>
          <w:color w:val="000000"/>
          <w:sz w:val="20"/>
          <w:szCs w:val="20"/>
          <w:lang w:bidi="ar"/>
        </w:rPr>
        <w:t>CSI-ReportConfig</w:t>
      </w:r>
      <w:r>
        <w:rPr>
          <w:rFonts w:ascii="Times New Roman" w:hAnsi="Times New Roman" w:eastAsia="宋体" w:cs="Times New Roman"/>
          <w:color w:val="000000"/>
          <w:sz w:val="20"/>
          <w:szCs w:val="20"/>
          <w:lang w:bidi="ar"/>
        </w:rPr>
        <w:t xml:space="preserve"> for which the CQI is reported is set to either </w:t>
      </w:r>
      <w:r>
        <w:rPr>
          <w:rFonts w:ascii="Times New Roman" w:hAnsi="Times New Roman" w:eastAsia="MS Mincho" w:cs="Times New Roman"/>
          <w:color w:val="000000"/>
          <w:sz w:val="20"/>
          <w:szCs w:val="20"/>
          <w:lang w:bidi="ar"/>
        </w:rPr>
        <w:t xml:space="preserve">'cri-RI-PMI-CQI' or 'cri-RI-LI-PMI-CQI', </w:t>
      </w:r>
      <w:r>
        <w:rPr>
          <w:rFonts w:ascii="Times New Roman" w:hAnsi="Times New Roman" w:eastAsia="宋体" w:cs="Times New Roman"/>
          <w:i/>
          <w:color w:val="000000"/>
          <w:sz w:val="20"/>
          <w:szCs w:val="20"/>
          <w:lang w:bidi="ar"/>
        </w:rPr>
        <w:t xml:space="preserve">W(i) </w:t>
      </w:r>
      <w:r>
        <w:rPr>
          <w:rFonts w:ascii="Times New Roman" w:hAnsi="Times New Roman" w:eastAsia="宋体" w:cs="Times New Roman"/>
          <w:color w:val="000000"/>
          <w:sz w:val="20"/>
          <w:szCs w:val="20"/>
          <w:lang w:bidi="ar"/>
        </w:rPr>
        <w:t xml:space="preserve">is the precoding matrix corresponding to the reported PMI applicable to </w:t>
      </w:r>
      <w:r>
        <w:rPr>
          <w:rFonts w:ascii="Times New Roman" w:hAnsi="Times New Roman" w:eastAsia="宋体" w:cs="Times New Roman"/>
          <w:i/>
          <w:color w:val="000000"/>
          <w:sz w:val="20"/>
          <w:szCs w:val="20"/>
          <w:lang w:bidi="ar"/>
        </w:rPr>
        <w:t>x(i)</w:t>
      </w:r>
      <w:r>
        <w:rPr>
          <w:rFonts w:ascii="Times New Roman" w:hAnsi="Times New Roman" w:eastAsia="宋体" w:cs="Times New Roman"/>
          <w:color w:val="000000"/>
          <w:sz w:val="20"/>
          <w:szCs w:val="20"/>
          <w:lang w:bidi="ar"/>
        </w:rPr>
        <w:t xml:space="preserve">. If the higher layer parameter </w:t>
      </w:r>
      <w:r>
        <w:rPr>
          <w:rFonts w:ascii="Times New Roman" w:hAnsi="Times New Roman" w:eastAsia="宋体" w:cs="Times New Roman"/>
          <w:i/>
          <w:color w:val="000000"/>
          <w:sz w:val="20"/>
          <w:szCs w:val="20"/>
          <w:lang w:bidi="ar"/>
        </w:rPr>
        <w:t>reportQuantity</w:t>
      </w:r>
      <w:r>
        <w:rPr>
          <w:rFonts w:ascii="Times New Roman" w:hAnsi="Times New Roman" w:eastAsia="宋体" w:cs="Times New Roman"/>
          <w:color w:val="000000"/>
          <w:sz w:val="20"/>
          <w:szCs w:val="20"/>
          <w:lang w:bidi="ar"/>
        </w:rPr>
        <w:t xml:space="preserve"> in </w:t>
      </w:r>
      <w:r>
        <w:rPr>
          <w:rFonts w:ascii="Times New Roman" w:hAnsi="Times New Roman" w:eastAsia="宋体" w:cs="Times New Roman"/>
          <w:i/>
          <w:color w:val="000000"/>
          <w:sz w:val="20"/>
          <w:szCs w:val="20"/>
          <w:lang w:bidi="ar"/>
        </w:rPr>
        <w:t>CSI-ReportConfig</w:t>
      </w:r>
      <w:r>
        <w:rPr>
          <w:rFonts w:ascii="Times New Roman" w:hAnsi="Times New Roman" w:eastAsia="宋体" w:cs="Times New Roman"/>
          <w:color w:val="000000"/>
          <w:sz w:val="20"/>
          <w:szCs w:val="20"/>
          <w:lang w:bidi="ar"/>
        </w:rPr>
        <w:t xml:space="preserve"> for which the CQI is reported is set to 'cri-RI-CQI', </w:t>
      </w:r>
      <w:r>
        <w:rPr>
          <w:rFonts w:ascii="Times New Roman" w:hAnsi="Times New Roman" w:eastAsia="宋体" w:cs="Times New Roman"/>
          <w:i/>
          <w:color w:val="000000"/>
          <w:sz w:val="20"/>
          <w:szCs w:val="20"/>
          <w:lang w:bidi="ar"/>
        </w:rPr>
        <w:t xml:space="preserve">W(i) </w:t>
      </w:r>
      <w:r>
        <w:rPr>
          <w:rFonts w:ascii="Times New Roman" w:hAnsi="Times New Roman" w:eastAsia="宋体" w:cs="Times New Roman"/>
          <w:color w:val="000000"/>
          <w:sz w:val="20"/>
          <w:szCs w:val="20"/>
          <w:lang w:bidi="ar"/>
        </w:rPr>
        <w:t xml:space="preserve">is the precoding matrix corresponding to the procedure described in Clause 5.2.1.4.2. If the higher layer parameter </w:t>
      </w:r>
      <w:r>
        <w:rPr>
          <w:rFonts w:ascii="Times New Roman" w:hAnsi="Times New Roman" w:eastAsia="宋体" w:cs="Times New Roman"/>
          <w:i/>
          <w:color w:val="000000"/>
          <w:sz w:val="20"/>
          <w:szCs w:val="20"/>
          <w:lang w:bidi="ar"/>
        </w:rPr>
        <w:t>reportQuantity</w:t>
      </w:r>
      <w:r>
        <w:rPr>
          <w:rFonts w:ascii="Times New Roman" w:hAnsi="Times New Roman" w:eastAsia="宋体" w:cs="Times New Roman"/>
          <w:color w:val="000000"/>
          <w:sz w:val="20"/>
          <w:szCs w:val="20"/>
          <w:lang w:bidi="ar"/>
        </w:rPr>
        <w:t xml:space="preserve"> in </w:t>
      </w:r>
      <w:r>
        <w:rPr>
          <w:rFonts w:ascii="Times New Roman" w:hAnsi="Times New Roman" w:eastAsia="宋体" w:cs="Times New Roman"/>
          <w:i/>
          <w:color w:val="000000"/>
          <w:sz w:val="20"/>
          <w:szCs w:val="20"/>
          <w:lang w:bidi="ar"/>
        </w:rPr>
        <w:t>CSI-ReportConfig</w:t>
      </w:r>
      <w:r>
        <w:rPr>
          <w:rFonts w:ascii="Times New Roman" w:hAnsi="Times New Roman" w:eastAsia="宋体" w:cs="Times New Roman"/>
          <w:color w:val="000000"/>
          <w:sz w:val="20"/>
          <w:szCs w:val="20"/>
          <w:lang w:bidi="ar"/>
        </w:rPr>
        <w:t xml:space="preserve"> for which the CQI is reported is set to 'cri-RI-i1-CQI', </w:t>
      </w:r>
      <w:r>
        <w:rPr>
          <w:rFonts w:ascii="Times New Roman" w:hAnsi="Times New Roman" w:eastAsia="宋体" w:cs="Times New Roman"/>
          <w:i/>
          <w:color w:val="000000"/>
          <w:sz w:val="20"/>
          <w:szCs w:val="20"/>
          <w:lang w:bidi="ar"/>
        </w:rPr>
        <w:t xml:space="preserve">W(i) </w:t>
      </w:r>
      <w:r>
        <w:rPr>
          <w:rFonts w:ascii="Times New Roman" w:hAnsi="Times New Roman" w:eastAsia="宋体" w:cs="Times New Roman"/>
          <w:color w:val="000000"/>
          <w:sz w:val="20"/>
          <w:szCs w:val="20"/>
          <w:lang w:bidi="ar"/>
        </w:rPr>
        <w:t>is the precoding matrix corresponding to the reported i1 according to the procedure described in Clause 5.2.1.4.2</w:t>
      </w:r>
      <w:r>
        <w:rPr>
          <w:rFonts w:ascii="Times New Roman" w:hAnsi="Times New Roman" w:eastAsia="宋体" w:cs="Times New Roman"/>
          <w:i/>
          <w:sz w:val="20"/>
          <w:szCs w:val="20"/>
          <w:lang w:bidi="ar"/>
        </w:rPr>
        <w:t>.</w:t>
      </w:r>
      <w:r>
        <w:rPr>
          <w:rFonts w:ascii="Times New Roman" w:hAnsi="Times New Roman" w:eastAsia="宋体" w:cs="Times New Roman"/>
          <w:sz w:val="20"/>
          <w:szCs w:val="20"/>
          <w:lang w:bidi="ar"/>
        </w:rPr>
        <w:t xml:space="preserve">The corresponding PDSCH signals transmitted on antenna ports [3000,…,3000 + </w:t>
      </w:r>
      <w:r>
        <w:rPr>
          <w:rFonts w:ascii="Times New Roman" w:hAnsi="Times New Roman" w:eastAsia="宋体" w:cs="Times New Roman"/>
          <w:i/>
          <w:sz w:val="20"/>
          <w:szCs w:val="20"/>
          <w:lang w:bidi="ar"/>
        </w:rPr>
        <w:t>P</w:t>
      </w:r>
      <w:r>
        <w:rPr>
          <w:rFonts w:ascii="Times New Roman" w:hAnsi="Times New Roman" w:eastAsia="宋体" w:cs="Times New Roman"/>
          <w:sz w:val="20"/>
          <w:szCs w:val="20"/>
          <w:lang w:bidi="ar"/>
        </w:rPr>
        <w:t xml:space="preserve"> - 1] would have a ratio of EPRE to CSI-RS EPRE equal to the ratio given in Clause 5.2.2.3.1.</w:t>
      </w:r>
      <w:r>
        <w:rPr>
          <w:rFonts w:hint="eastAsia" w:ascii="Times New Roman" w:hAnsi="Times New Roman" w:eastAsia="宋体" w:cs="Times New Roman"/>
          <w:sz w:val="20"/>
          <w:szCs w:val="20"/>
          <w:lang w:bidi="ar"/>
        </w:rPr>
        <w:t xml:space="preserve"> </w:t>
      </w:r>
    </w:p>
    <w:p>
      <w:pPr>
        <w:pStyle w:val="26"/>
        <w:adjustRightInd w:val="0"/>
        <w:spacing w:beforeAutospacing="1" w:after="180"/>
        <w:ind w:left="556" w:leftChars="90" w:hanging="358" w:hangingChars="179"/>
        <w:rPr>
          <w:rFonts w:ascii="Times New Roman" w:hAnsi="Times New Roman" w:eastAsia="宋体"/>
          <w:color w:val="FF0000"/>
          <w:sz w:val="20"/>
          <w:szCs w:val="20"/>
          <w:lang w:eastAsia="en-US"/>
        </w:rPr>
      </w:pPr>
      <w:r>
        <w:rPr>
          <w:rFonts w:hint="eastAsia" w:ascii="Times New Roman" w:hAnsi="Times New Roman" w:eastAsia="宋体" w:cs="Times New Roman"/>
          <w:color w:val="FF0000"/>
          <w:sz w:val="20"/>
          <w:szCs w:val="20"/>
          <w:lang w:bidi="ar"/>
        </w:rPr>
        <w:t>-</w:t>
      </w:r>
      <w:r>
        <w:rPr>
          <w:rFonts w:hint="eastAsia" w:ascii="Times New Roman" w:hAnsi="Times New Roman" w:eastAsia="宋体" w:cs="Times New Roman"/>
          <w:sz w:val="20"/>
          <w:szCs w:val="20"/>
          <w:lang w:bidi="ar"/>
        </w:rPr>
        <w:t xml:space="preserve">   </w:t>
      </w:r>
      <w:r>
        <w:rPr>
          <w:rFonts w:hint="eastAsia" w:ascii="Times New Roman" w:hAnsi="Times New Roman" w:eastAsia="宋体" w:cs="Times New Roman"/>
          <w:color w:val="FF0000"/>
          <w:sz w:val="20"/>
          <w:szCs w:val="20"/>
          <w:lang w:bidi="ar"/>
        </w:rPr>
        <w:t xml:space="preserve">If one CSI-RS resource pair is selected for joint CSI calculation, </w:t>
      </w:r>
      <w:r>
        <w:rPr>
          <w:rFonts w:ascii="Times New Roman" w:hAnsi="Times New Roman" w:eastAsia="宋体" w:cs="Times New Roman"/>
          <w:color w:val="FF0000"/>
          <w:sz w:val="20"/>
          <w:szCs w:val="20"/>
          <w:lang w:bidi="ar"/>
        </w:rPr>
        <w:t xml:space="preserve">the </w:t>
      </w:r>
      <w:r>
        <w:rPr>
          <w:rFonts w:hint="eastAsia" w:ascii="Times New Roman" w:hAnsi="Times New Roman" w:eastAsia="宋体" w:cs="Times New Roman"/>
          <w:color w:val="FF0000"/>
          <w:sz w:val="20"/>
          <w:szCs w:val="20"/>
          <w:lang w:bidi="ar"/>
        </w:rPr>
        <w:t xml:space="preserve">above </w:t>
      </w:r>
      <w:r>
        <w:rPr>
          <w:rFonts w:ascii="Times New Roman" w:hAnsi="Times New Roman" w:eastAsia="宋体" w:cs="Times New Roman"/>
          <w:i/>
          <w:color w:val="FF0000"/>
          <w:sz w:val="20"/>
          <w:szCs w:val="20"/>
          <w:lang w:bidi="ar"/>
        </w:rPr>
        <w:t>W(i)</w:t>
      </w:r>
      <w:r>
        <w:rPr>
          <w:rFonts w:hint="eastAsia" w:ascii="Times New Roman" w:hAnsi="Times New Roman" w:eastAsia="宋体" w:cs="Times New Roman"/>
          <w:i/>
          <w:color w:val="FF0000"/>
          <w:sz w:val="20"/>
          <w:szCs w:val="20"/>
          <w:lang w:bidi="ar"/>
        </w:rPr>
        <w:t xml:space="preserve">, </w:t>
      </w:r>
      <w:r>
        <w:rPr>
          <w:rFonts w:hint="eastAsia" w:ascii="Times New Roman" w:hAnsi="Times New Roman" w:eastAsia="宋体" w:cs="Times New Roman"/>
          <w:iCs/>
          <w:color w:val="FF0000"/>
          <w:sz w:val="20"/>
          <w:szCs w:val="20"/>
          <w:lang w:bidi="ar"/>
        </w:rPr>
        <w:t xml:space="preserve">antenna ports </w:t>
      </w:r>
      <w:r>
        <w:rPr>
          <w:rFonts w:ascii="Times New Roman" w:hAnsi="Times New Roman" w:eastAsia="宋体" w:cs="Times New Roman"/>
          <w:color w:val="FF0000"/>
          <w:sz w:val="20"/>
          <w:szCs w:val="20"/>
          <w:lang w:bidi="ar"/>
        </w:rPr>
        <w:t>[3000,…, 3000+</w:t>
      </w:r>
      <w:r>
        <w:rPr>
          <w:rFonts w:ascii="Times New Roman" w:hAnsi="Times New Roman" w:eastAsia="宋体" w:cs="Times New Roman"/>
          <w:i/>
          <w:color w:val="FF0000"/>
          <w:sz w:val="20"/>
          <w:szCs w:val="20"/>
          <w:lang w:bidi="ar"/>
        </w:rPr>
        <w:t>P</w:t>
      </w:r>
      <w:r>
        <w:rPr>
          <w:rFonts w:ascii="Times New Roman" w:hAnsi="Times New Roman" w:eastAsia="宋体" w:cs="Times New Roman"/>
          <w:color w:val="FF0000"/>
          <w:sz w:val="20"/>
          <w:szCs w:val="20"/>
          <w:lang w:bidi="ar"/>
        </w:rPr>
        <w:t>-1]</w:t>
      </w:r>
      <w:r>
        <w:rPr>
          <w:rFonts w:hint="eastAsia" w:ascii="Times New Roman" w:hAnsi="Times New Roman" w:eastAsia="宋体" w:cs="Times New Roman"/>
          <w:color w:val="FF0000"/>
          <w:sz w:val="20"/>
          <w:szCs w:val="20"/>
          <w:lang w:bidi="ar"/>
        </w:rPr>
        <w:t xml:space="preserve"> and </w:t>
      </w:r>
      <w:r>
        <w:rPr>
          <w:rFonts w:ascii="Times New Roman" w:hAnsi="Times New Roman" w:eastAsia="宋体" w:cs="Times New Roman"/>
          <w:color w:val="FF0000"/>
          <w:sz w:val="20"/>
          <w:szCs w:val="20"/>
          <w:lang w:bidi="ar"/>
        </w:rPr>
        <w:t>set [1000,…, 1000+ν-1] for ν PDSCH layers</w:t>
      </w:r>
      <w:r>
        <w:rPr>
          <w:rFonts w:hint="eastAsia" w:ascii="Times New Roman" w:hAnsi="Times New Roman" w:eastAsia="宋体" w:cs="Times New Roman"/>
          <w:color w:val="FF0000"/>
          <w:sz w:val="20"/>
          <w:szCs w:val="20"/>
          <w:lang w:bidi="ar"/>
        </w:rPr>
        <w:t xml:space="preserve"> are associated with each CSI-RS resource</w:t>
      </w:r>
      <w:r>
        <w:rPr>
          <w:rFonts w:ascii="Times New Roman" w:hAnsi="Times New Roman" w:eastAsia="宋体" w:cs="Times New Roman"/>
          <w:color w:val="FF0000"/>
          <w:sz w:val="20"/>
          <w:szCs w:val="20"/>
          <w:lang w:bidi="ar"/>
        </w:rPr>
        <w:t xml:space="preserve"> in the selected CSI-RS resource pair</w:t>
      </w:r>
      <w:r>
        <w:rPr>
          <w:rFonts w:hint="eastAsia" w:ascii="Times New Roman" w:hAnsi="Times New Roman" w:eastAsia="宋体" w:cs="Times New Roman"/>
          <w:color w:val="FF0000"/>
          <w:sz w:val="20"/>
          <w:szCs w:val="20"/>
          <w:lang w:bidi="ar"/>
        </w:rPr>
        <w:t xml:space="preserve">, and </w:t>
      </w:r>
      <w:r>
        <w:rPr>
          <w:rFonts w:ascii="Times New Roman" w:hAnsi="Times New Roman" w:eastAsia="宋体" w:cs="Times New Roman"/>
          <w:color w:val="FF0000"/>
          <w:sz w:val="20"/>
          <w:szCs w:val="20"/>
          <w:lang w:bidi="ar"/>
        </w:rPr>
        <w:t xml:space="preserve">the </w:t>
      </w:r>
      <w:r>
        <w:rPr>
          <w:rFonts w:hint="eastAsia" w:ascii="Times New Roman" w:hAnsi="Times New Roman" w:eastAsia="宋体" w:cs="Times New Roman"/>
          <w:color w:val="FF0000"/>
          <w:sz w:val="20"/>
          <w:szCs w:val="20"/>
          <w:lang w:bidi="ar"/>
        </w:rPr>
        <w:t>joint CSI</w:t>
      </w:r>
      <w:r>
        <w:rPr>
          <w:rFonts w:ascii="Times New Roman" w:hAnsi="Times New Roman" w:eastAsia="宋体" w:cs="Times New Roman"/>
          <w:color w:val="FF0000"/>
          <w:sz w:val="20"/>
          <w:szCs w:val="20"/>
          <w:lang w:bidi="ar"/>
        </w:rPr>
        <w:t xml:space="preserve"> is calculated based on the assumption that inter-</w:t>
      </w:r>
      <w:r>
        <w:rPr>
          <w:rFonts w:hint="eastAsia" w:ascii="Times New Roman" w:hAnsi="Times New Roman" w:eastAsia="宋体" w:cs="Times New Roman"/>
          <w:color w:val="FF0000"/>
          <w:sz w:val="20"/>
          <w:szCs w:val="20"/>
          <w:lang w:bidi="ar"/>
        </w:rPr>
        <w:t>layer</w:t>
      </w:r>
      <w:r>
        <w:rPr>
          <w:rFonts w:ascii="Times New Roman" w:hAnsi="Times New Roman" w:eastAsia="宋体" w:cs="Times New Roman"/>
          <w:color w:val="FF0000"/>
          <w:sz w:val="20"/>
          <w:szCs w:val="20"/>
          <w:lang w:bidi="ar"/>
        </w:rPr>
        <w:t xml:space="preserve"> interference of the PDSCH is derived from channel measurement obtained from the</w:t>
      </w:r>
      <w:r>
        <w:rPr>
          <w:rFonts w:hint="eastAsia" w:ascii="Times New Roman" w:hAnsi="Times New Roman" w:eastAsia="宋体" w:cs="Times New Roman"/>
          <w:color w:val="FF0000"/>
          <w:sz w:val="20"/>
          <w:szCs w:val="20"/>
          <w:lang w:bidi="ar"/>
        </w:rPr>
        <w:t xml:space="preserve"> selected</w:t>
      </w:r>
      <w:r>
        <w:rPr>
          <w:rFonts w:ascii="Times New Roman" w:hAnsi="Times New Roman" w:eastAsia="宋体" w:cs="Times New Roman"/>
          <w:color w:val="FF0000"/>
          <w:sz w:val="20"/>
          <w:szCs w:val="20"/>
          <w:lang w:bidi="ar"/>
        </w:rPr>
        <w:t xml:space="preserve"> NZP CSI-RS resource</w:t>
      </w:r>
      <w:r>
        <w:rPr>
          <w:rFonts w:hint="eastAsia" w:ascii="Times New Roman" w:hAnsi="Times New Roman" w:eastAsia="宋体" w:cs="Times New Roman"/>
          <w:color w:val="FF0000"/>
          <w:sz w:val="20"/>
          <w:szCs w:val="20"/>
          <w:lang w:bidi="ar"/>
        </w:rPr>
        <w:t>s</w:t>
      </w:r>
      <w:r>
        <w:rPr>
          <w:rFonts w:ascii="Times New Roman" w:hAnsi="Times New Roman" w:eastAsia="宋体" w:cs="Times New Roman"/>
          <w:color w:val="FF0000"/>
          <w:sz w:val="20"/>
          <w:szCs w:val="20"/>
          <w:lang w:bidi="ar"/>
        </w:rPr>
        <w:t xml:space="preserve"> and the</w:t>
      </w:r>
      <w:r>
        <w:rPr>
          <w:rFonts w:hint="eastAsia" w:ascii="Times New Roman" w:hAnsi="Times New Roman" w:eastAsia="宋体" w:cs="Times New Roman"/>
          <w:color w:val="FF0000"/>
          <w:sz w:val="20"/>
          <w:szCs w:val="20"/>
          <w:lang w:bidi="ar"/>
        </w:rPr>
        <w:t xml:space="preserve"> corresponding</w:t>
      </w:r>
      <w:r>
        <w:rPr>
          <w:rFonts w:ascii="Times New Roman" w:hAnsi="Times New Roman" w:eastAsia="宋体" w:cs="Times New Roman"/>
          <w:color w:val="FF0000"/>
          <w:sz w:val="20"/>
          <w:szCs w:val="20"/>
          <w:lang w:bidi="ar"/>
        </w:rPr>
        <w:t xml:space="preserve"> precoding matrix</w:t>
      </w:r>
      <w:r>
        <w:rPr>
          <w:rFonts w:hint="eastAsia" w:ascii="Times New Roman" w:hAnsi="Times New Roman" w:eastAsia="宋体" w:cs="Times New Roman"/>
          <w:color w:val="FF0000"/>
          <w:sz w:val="20"/>
          <w:szCs w:val="20"/>
          <w:lang w:bidi="ar"/>
        </w:rPr>
        <w:t xml:space="preserve">. </w:t>
      </w:r>
      <w:r>
        <w:rPr>
          <w:rFonts w:ascii="Times New Roman" w:hAnsi="Times New Roman" w:eastAsia="宋体" w:cs="Times New Roman"/>
          <w:color w:val="FF0000"/>
          <w:sz w:val="20"/>
          <w:szCs w:val="20"/>
          <w:lang w:bidi="ar"/>
        </w:rPr>
        <w:t xml:space="preserve">The associated PDSCH layers transmitted on </w:t>
      </w:r>
      <w:r>
        <w:rPr>
          <w:rFonts w:hint="eastAsia" w:ascii="Times New Roman" w:hAnsi="Times New Roman" w:eastAsia="宋体" w:cs="Times New Roman"/>
          <w:color w:val="FF0000"/>
          <w:sz w:val="20"/>
          <w:szCs w:val="20"/>
          <w:lang w:bidi="ar"/>
        </w:rPr>
        <w:t xml:space="preserve"> antenna ports</w:t>
      </w:r>
      <w:r>
        <w:rPr>
          <w:rFonts w:ascii="Times New Roman" w:hAnsi="Times New Roman" w:eastAsia="宋体" w:cs="Times New Roman"/>
          <w:color w:val="FF0000"/>
          <w:sz w:val="20"/>
          <w:szCs w:val="20"/>
          <w:lang w:bidi="ar"/>
        </w:rPr>
        <w:t xml:space="preserve"> [3000,…,3000 + </w:t>
      </w:r>
      <w:r>
        <w:rPr>
          <w:rFonts w:ascii="Times New Roman" w:hAnsi="Times New Roman" w:eastAsia="宋体" w:cs="Times New Roman"/>
          <w:i/>
          <w:color w:val="FF0000"/>
          <w:sz w:val="20"/>
          <w:szCs w:val="20"/>
          <w:lang w:bidi="ar"/>
        </w:rPr>
        <w:t>P</w:t>
      </w:r>
      <w:r>
        <w:rPr>
          <w:rFonts w:ascii="Times New Roman" w:hAnsi="Times New Roman" w:eastAsia="宋体" w:cs="Times New Roman"/>
          <w:color w:val="FF0000"/>
          <w:sz w:val="20"/>
          <w:szCs w:val="20"/>
          <w:lang w:bidi="ar"/>
        </w:rPr>
        <w:t xml:space="preserve"> - 1] of</w:t>
      </w:r>
      <w:r>
        <w:rPr>
          <w:rFonts w:hint="eastAsia" w:ascii="Times New Roman" w:hAnsi="Times New Roman" w:eastAsia="宋体" w:cs="Times New Roman"/>
          <w:color w:val="FF0000"/>
          <w:sz w:val="20"/>
          <w:szCs w:val="20"/>
          <w:lang w:bidi="ar"/>
        </w:rPr>
        <w:t xml:space="preserve"> the corresponding CSI-RS resource</w:t>
      </w:r>
      <w:r>
        <w:rPr>
          <w:rFonts w:ascii="Times New Roman" w:hAnsi="Times New Roman" w:eastAsia="宋体" w:cs="Times New Roman"/>
          <w:color w:val="FF0000"/>
          <w:sz w:val="20"/>
          <w:szCs w:val="20"/>
          <w:lang w:bidi="ar"/>
        </w:rPr>
        <w:t xml:space="preserve"> in the selected CSI-RS resource pair would have a ratio of EPRE to CSI-RS EPRE equal to the ratio given in Clause 5.2.2.3.1.</w:t>
      </w:r>
      <w:r>
        <w:rPr>
          <w:rFonts w:hint="eastAsia" w:ascii="Times New Roman" w:hAnsi="Times New Roman" w:eastAsia="宋体" w:cs="Times New Roman"/>
          <w:color w:val="FF0000"/>
          <w:sz w:val="20"/>
          <w:szCs w:val="20"/>
          <w:lang w:bidi="ar"/>
        </w:rPr>
        <w:t xml:space="preserve"> </w:t>
      </w:r>
    </w:p>
    <w:p>
      <w:pPr>
        <w:adjustRightInd w:val="0"/>
        <w:snapToGrid w:val="0"/>
        <w:spacing w:after="0" w:line="240" w:lineRule="exact"/>
        <w:jc w:val="both"/>
        <w:rPr>
          <w:rFonts w:ascii="Times New Roman" w:hAnsi="Times New Roman" w:eastAsia="Batang"/>
          <w:i/>
          <w:iCs/>
          <w:sz w:val="20"/>
          <w:szCs w:val="20"/>
          <w:lang w:val="en-GB" w:eastAsia="en-US"/>
        </w:rPr>
      </w:pPr>
      <w:r>
        <w:rPr>
          <w:rFonts w:hint="eastAsia" w:ascii="Times New Roman" w:hAnsi="Times New Roman" w:eastAsia="宋体"/>
          <w:b/>
          <w:bCs/>
          <w:i/>
          <w:iCs/>
          <w:color w:val="000000"/>
          <w:kern w:val="2"/>
          <w:sz w:val="20"/>
          <w:szCs w:val="20"/>
        </w:rPr>
        <w:t>Proposal 2:</w:t>
      </w:r>
      <w:r>
        <w:rPr>
          <w:rFonts w:hint="eastAsia" w:ascii="Times New Roman" w:hAnsi="Times New Roman" w:eastAsia="宋体"/>
          <w:i/>
          <w:iCs/>
          <w:color w:val="000000"/>
          <w:kern w:val="2"/>
          <w:sz w:val="20"/>
          <w:szCs w:val="20"/>
        </w:rPr>
        <w:t xml:space="preserve"> </w:t>
      </w:r>
      <w:r>
        <w:rPr>
          <w:rFonts w:ascii="Times New Roman" w:hAnsi="Times New Roman" w:eastAsia="Batang"/>
          <w:i/>
          <w:iCs/>
          <w:sz w:val="20"/>
          <w:szCs w:val="20"/>
          <w:lang w:val="en-GB" w:eastAsia="en-US"/>
        </w:rPr>
        <w:t>For a CMR pair configured for a NCJT measurement hypothesis,</w:t>
      </w:r>
      <w:r>
        <w:rPr>
          <w:rFonts w:hint="eastAsia" w:ascii="Times New Roman" w:hAnsi="Times New Roman" w:eastAsia="宋体"/>
          <w:i/>
          <w:iCs/>
          <w:sz w:val="20"/>
          <w:szCs w:val="20"/>
        </w:rPr>
        <w:t xml:space="preserve"> support Alt 2, </w:t>
      </w:r>
      <w:r>
        <w:rPr>
          <w:rFonts w:hint="eastAsia" w:ascii="Times New Roman" w:hAnsi="Times New Roman" w:eastAsia="宋体"/>
          <w:i/>
          <w:iCs/>
          <w:sz w:val="20"/>
          <w:szCs w:val="20"/>
          <w:lang w:val="en-GB" w:eastAsia="en-US"/>
        </w:rPr>
        <w:t>re-interpret two Pc ratios configured for the CMR pair for the NCJT measurement hypothesis</w:t>
      </w:r>
      <w:r>
        <w:rPr>
          <w:rFonts w:hint="eastAsia" w:ascii="Times New Roman" w:hAnsi="Times New Roman" w:eastAsia="宋体"/>
          <w:i/>
          <w:sz w:val="20"/>
          <w:szCs w:val="20"/>
        </w:rPr>
        <w:t xml:space="preserve"> </w:t>
      </w:r>
    </w:p>
    <w:p>
      <w:pPr>
        <w:numPr>
          <w:ilvl w:val="0"/>
          <w:numId w:val="5"/>
        </w:numPr>
        <w:adjustRightInd w:val="0"/>
        <w:snapToGrid w:val="0"/>
        <w:spacing w:after="0" w:line="240" w:lineRule="exact"/>
        <w:jc w:val="both"/>
        <w:rPr>
          <w:rFonts w:ascii="Times" w:hAnsi="Times" w:eastAsia="宋体" w:cs="Times"/>
          <w:i/>
          <w:iCs/>
          <w:kern w:val="2"/>
          <w:sz w:val="20"/>
          <w:szCs w:val="20"/>
        </w:rPr>
      </w:pPr>
      <w:r>
        <w:rPr>
          <w:rFonts w:hint="eastAsia" w:ascii="Times New Roman" w:hAnsi="Times New Roman" w:eastAsia="宋体"/>
          <w:i/>
          <w:iCs/>
          <w:sz w:val="20"/>
          <w:szCs w:val="20"/>
        </w:rPr>
        <w:t>A</w:t>
      </w:r>
      <w:r>
        <w:rPr>
          <w:rFonts w:hint="eastAsia" w:ascii="Times New Roman" w:hAnsi="Times New Roman" w:eastAsia="宋体"/>
          <w:i/>
          <w:sz w:val="20"/>
          <w:szCs w:val="20"/>
          <w:lang w:bidi="ar"/>
        </w:rPr>
        <w:t xml:space="preserve">ntenna ports </w:t>
      </w:r>
      <w:r>
        <w:rPr>
          <w:rFonts w:ascii="Times New Roman" w:hAnsi="Times New Roman" w:eastAsia="宋体"/>
          <w:i/>
          <w:sz w:val="20"/>
          <w:szCs w:val="20"/>
          <w:lang w:bidi="ar"/>
        </w:rPr>
        <w:t>[3000,…, 3000+P-1]</w:t>
      </w:r>
      <w:r>
        <w:rPr>
          <w:rFonts w:hint="eastAsia" w:ascii="Times New Roman" w:hAnsi="Times New Roman" w:eastAsia="宋体"/>
          <w:i/>
          <w:sz w:val="20"/>
          <w:szCs w:val="20"/>
          <w:lang w:bidi="ar"/>
        </w:rPr>
        <w:t xml:space="preserve">, </w:t>
      </w:r>
      <w:r>
        <w:rPr>
          <w:rFonts w:ascii="Times New Roman" w:hAnsi="Times New Roman" w:eastAsia="宋体"/>
          <w:i/>
          <w:sz w:val="20"/>
          <w:szCs w:val="20"/>
          <w:lang w:bidi="ar"/>
        </w:rPr>
        <w:t>set [1000,…, 1000+ν-1] for ν layers</w:t>
      </w:r>
      <w:r>
        <w:rPr>
          <w:rFonts w:hint="eastAsia" w:ascii="Times New Roman" w:hAnsi="Times New Roman" w:eastAsia="宋体"/>
          <w:i/>
          <w:sz w:val="20"/>
          <w:szCs w:val="20"/>
          <w:lang w:bidi="ar"/>
        </w:rPr>
        <w:t xml:space="preserve">, Pc ratio are associated with each resource of </w:t>
      </w:r>
      <w:r>
        <w:rPr>
          <w:rFonts w:ascii="Times New Roman" w:hAnsi="Times New Roman" w:eastAsia="宋体"/>
          <w:i/>
          <w:sz w:val="20"/>
          <w:szCs w:val="20"/>
          <w:lang w:bidi="ar"/>
        </w:rPr>
        <w:t xml:space="preserve">the </w:t>
      </w:r>
      <w:r>
        <w:rPr>
          <w:rFonts w:hint="eastAsia" w:ascii="Times New Roman" w:hAnsi="Times New Roman" w:eastAsia="宋体"/>
          <w:i/>
          <w:sz w:val="20"/>
          <w:szCs w:val="20"/>
          <w:lang w:bidi="ar"/>
        </w:rPr>
        <w:t>CMR pair</w:t>
      </w:r>
      <w:r>
        <w:rPr>
          <w:rFonts w:ascii="Times New Roman" w:hAnsi="Times New Roman" w:eastAsia="宋体"/>
          <w:i/>
          <w:sz w:val="20"/>
          <w:szCs w:val="20"/>
          <w:lang w:bidi="ar"/>
        </w:rPr>
        <w:t xml:space="preserve">. </w:t>
      </w:r>
    </w:p>
    <w:p>
      <w:pPr>
        <w:numPr>
          <w:ilvl w:val="0"/>
          <w:numId w:val="5"/>
        </w:numPr>
        <w:adjustRightInd w:val="0"/>
        <w:snapToGrid w:val="0"/>
        <w:spacing w:after="0" w:line="240" w:lineRule="exact"/>
        <w:jc w:val="both"/>
        <w:rPr>
          <w:rFonts w:ascii="Times" w:hAnsi="Times" w:eastAsia="宋体" w:cs="Times"/>
          <w:i/>
          <w:iCs/>
          <w:kern w:val="2"/>
          <w:sz w:val="20"/>
          <w:szCs w:val="20"/>
        </w:rPr>
      </w:pPr>
      <w:r>
        <w:rPr>
          <w:rFonts w:ascii="Times New Roman" w:hAnsi="Times New Roman" w:eastAsia="宋体"/>
          <w:i/>
          <w:sz w:val="20"/>
          <w:szCs w:val="20"/>
          <w:lang w:bidi="ar"/>
        </w:rPr>
        <w:t xml:space="preserve">For CQI derivation assumption, the associated PDSCH layers transmitted on </w:t>
      </w:r>
      <w:r>
        <w:rPr>
          <w:rFonts w:hint="eastAsia" w:ascii="Times New Roman" w:hAnsi="Times New Roman" w:eastAsia="宋体"/>
          <w:i/>
          <w:sz w:val="20"/>
          <w:szCs w:val="20"/>
          <w:lang w:bidi="ar"/>
        </w:rPr>
        <w:t>antenna ports</w:t>
      </w:r>
      <w:r>
        <w:rPr>
          <w:rFonts w:ascii="Times New Roman" w:hAnsi="Times New Roman" w:eastAsia="宋体"/>
          <w:i/>
          <w:sz w:val="20"/>
          <w:szCs w:val="20"/>
          <w:lang w:bidi="ar"/>
        </w:rPr>
        <w:t xml:space="preserve"> [3000,…,3000 + P - 1] of</w:t>
      </w:r>
      <w:r>
        <w:rPr>
          <w:rFonts w:hint="eastAsia" w:ascii="Times New Roman" w:hAnsi="Times New Roman" w:eastAsia="宋体"/>
          <w:i/>
          <w:sz w:val="20"/>
          <w:szCs w:val="20"/>
          <w:lang w:bidi="ar"/>
        </w:rPr>
        <w:t xml:space="preserve"> the corresponding CSI-RS resource</w:t>
      </w:r>
      <w:r>
        <w:rPr>
          <w:rFonts w:ascii="Times New Roman" w:hAnsi="Times New Roman" w:eastAsia="宋体"/>
          <w:i/>
          <w:sz w:val="20"/>
          <w:szCs w:val="20"/>
          <w:lang w:bidi="ar"/>
        </w:rPr>
        <w:t xml:space="preserve"> in the selected CSI-RS resource pair would have a ratio of EPRE to CSI-RS EPRE equal to the ratio given in Clause 5.2.2.3.1.</w:t>
      </w:r>
    </w:p>
    <w:p>
      <w:pPr>
        <w:adjustRightInd w:val="0"/>
        <w:snapToGrid w:val="0"/>
        <w:spacing w:after="0" w:line="240" w:lineRule="exact"/>
        <w:ind w:left="1440"/>
        <w:jc w:val="both"/>
        <w:rPr>
          <w:rFonts w:ascii="Times" w:hAnsi="Times" w:eastAsia="宋体" w:cs="Times"/>
          <w:i/>
          <w:iCs/>
          <w:kern w:val="2"/>
          <w:sz w:val="20"/>
          <w:szCs w:val="20"/>
        </w:rPr>
      </w:pPr>
      <w:r>
        <w:rPr>
          <w:rFonts w:hint="eastAsia" w:ascii="Times New Roman" w:hAnsi="Times New Roman" w:eastAsia="宋体"/>
          <w:sz w:val="20"/>
          <w:szCs w:val="20"/>
          <w:lang w:bidi="ar"/>
        </w:rPr>
        <w:t xml:space="preserve"> </w:t>
      </w:r>
    </w:p>
    <w:p>
      <w:pPr>
        <w:keepNext/>
        <w:keepLines/>
        <w:snapToGrid w:val="0"/>
        <w:spacing w:before="260" w:after="180" w:afterLines="50" w:line="240" w:lineRule="auto"/>
        <w:outlineLvl w:val="1"/>
        <w:rPr>
          <w:rFonts w:ascii="Arial" w:hAnsi="Arial"/>
          <w:sz w:val="24"/>
          <w:szCs w:val="24"/>
        </w:rPr>
      </w:pPr>
      <w:r>
        <w:rPr>
          <w:rFonts w:hint="eastAsia" w:ascii="Arial" w:hAnsi="Arial"/>
          <w:sz w:val="24"/>
          <w:szCs w:val="24"/>
        </w:rPr>
        <w:t xml:space="preserve">2.3 </w:t>
      </w:r>
      <w:r>
        <w:rPr>
          <w:rFonts w:ascii="Arial" w:hAnsi="Arial"/>
          <w:sz w:val="24"/>
          <w:szCs w:val="24"/>
          <w:lang w:val="en-GB" w:eastAsia="en-US"/>
        </w:rPr>
        <w:t>CSI computation delay</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hd w:val="clear" w:color="auto" w:fill="FFFFFF"/>
              <w:spacing w:after="0" w:line="240" w:lineRule="auto"/>
              <w:jc w:val="both"/>
              <w:rPr>
                <w:rFonts w:ascii="Times New Roman" w:hAnsi="Times New Roman" w:eastAsia="宋体"/>
                <w:b/>
                <w:iCs/>
                <w:sz w:val="20"/>
                <w:szCs w:val="20"/>
              </w:rPr>
            </w:pPr>
            <w:r>
              <w:rPr>
                <w:rFonts w:ascii="Times New Roman" w:hAnsi="Times New Roman" w:eastAsia="宋体"/>
                <w:b/>
                <w:iCs/>
                <w:sz w:val="20"/>
                <w:szCs w:val="20"/>
                <w:lang w:val="en-GB" w:eastAsia="en-US"/>
              </w:rPr>
              <w:t>Agreement</w:t>
            </w:r>
            <w:r>
              <w:rPr>
                <w:rFonts w:hint="eastAsia" w:ascii="Times New Roman" w:hAnsi="Times New Roman" w:eastAsia="宋体"/>
                <w:b/>
                <w:iCs/>
                <w:sz w:val="20"/>
                <w:szCs w:val="20"/>
              </w:rPr>
              <w:t>#3</w:t>
            </w:r>
          </w:p>
          <w:p>
            <w:pPr>
              <w:snapToGrid w:val="0"/>
              <w:spacing w:after="0" w:line="240" w:lineRule="exact"/>
              <w:rPr>
                <w:rFonts w:ascii="Times New Roman" w:hAnsi="Times New Roman" w:eastAsia="Batang"/>
                <w:sz w:val="20"/>
                <w:szCs w:val="20"/>
                <w:lang w:val="en-GB" w:eastAsia="en-US"/>
              </w:rPr>
            </w:pPr>
            <w:r>
              <w:rPr>
                <w:rFonts w:ascii="Times New Roman" w:hAnsi="Times New Roman" w:eastAsia="Batang"/>
                <w:sz w:val="20"/>
                <w:szCs w:val="24"/>
                <w:lang w:val="en-GB" w:eastAsia="en-US"/>
              </w:rPr>
              <w:t>Fo</w:t>
            </w:r>
            <w:r>
              <w:rPr>
                <w:rFonts w:ascii="Times New Roman" w:hAnsi="Times New Roman" w:eastAsia="Batang"/>
                <w:sz w:val="20"/>
                <w:szCs w:val="20"/>
                <w:lang w:val="en-GB" w:eastAsia="en-US"/>
              </w:rPr>
              <w:t xml:space="preserve">r CSI computation delay requirement associated with a </w:t>
            </w:r>
            <w:r>
              <w:rPr>
                <w:rFonts w:ascii="Times New Roman" w:hAnsi="Times New Roman" w:eastAsia="Batang"/>
                <w:i/>
                <w:iCs/>
                <w:sz w:val="20"/>
                <w:szCs w:val="20"/>
                <w:lang w:val="en-GB" w:eastAsia="en-US"/>
              </w:rPr>
              <w:t>CSI-ReportingConfig</w:t>
            </w:r>
            <w:r>
              <w:rPr>
                <w:rFonts w:ascii="Times New Roman" w:hAnsi="Times New Roman" w:eastAsia="Batang"/>
                <w:sz w:val="20"/>
                <w:szCs w:val="20"/>
                <w:lang w:val="en-GB" w:eastAsia="en-US"/>
              </w:rPr>
              <w:t xml:space="preserve"> for a NCJT measurement hypothesis, study following alternatives:</w:t>
            </w:r>
          </w:p>
          <w:p>
            <w:pPr>
              <w:numPr>
                <w:ilvl w:val="0"/>
                <w:numId w:val="6"/>
              </w:numPr>
              <w:snapToGrid w:val="0"/>
              <w:spacing w:after="0" w:line="240" w:lineRule="exact"/>
              <w:ind w:left="726" w:hanging="363"/>
              <w:rPr>
                <w:rFonts w:ascii="Times New Roman" w:hAnsi="Times New Roman" w:eastAsia="Batang"/>
                <w:sz w:val="20"/>
                <w:szCs w:val="20"/>
                <w:lang w:val="en-GB" w:eastAsia="en-US"/>
              </w:rPr>
            </w:pPr>
            <w:r>
              <w:rPr>
                <w:rFonts w:ascii="Times New Roman" w:hAnsi="Times New Roman" w:eastAsia="Batang"/>
                <w:sz w:val="20"/>
                <w:szCs w:val="20"/>
                <w:lang w:val="en-GB" w:eastAsia="en-US"/>
              </w:rPr>
              <w:t>Alt1: introducing new/relaxed values on Z and Z’, FFS exact values or other conditions</w:t>
            </w:r>
          </w:p>
          <w:p>
            <w:pPr>
              <w:numPr>
                <w:ilvl w:val="0"/>
                <w:numId w:val="6"/>
              </w:numPr>
              <w:snapToGrid w:val="0"/>
              <w:spacing w:after="0" w:line="240" w:lineRule="exact"/>
              <w:ind w:left="726" w:hanging="363"/>
              <w:rPr>
                <w:rFonts w:ascii="Times New Roman" w:hAnsi="Times New Roman" w:eastAsia="Times New Roman"/>
                <w:color w:val="000000"/>
                <w:kern w:val="2"/>
                <w:sz w:val="20"/>
                <w:szCs w:val="20"/>
              </w:rPr>
            </w:pPr>
            <w:r>
              <w:rPr>
                <w:rFonts w:ascii="Times New Roman" w:hAnsi="Times New Roman" w:eastAsia="Batang"/>
                <w:sz w:val="20"/>
                <w:szCs w:val="20"/>
                <w:lang w:val="en-GB" w:eastAsia="en-US"/>
              </w:rPr>
              <w:t>Alt2: No changes of values on Z and Z’</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eastAsia="宋体"/>
          <w:sz w:val="20"/>
          <w:szCs w:val="20"/>
        </w:rPr>
        <w:t>In section 5.4</w:t>
      </w:r>
      <w:r>
        <w:rPr>
          <w:rFonts w:ascii="Times New Roman" w:hAnsi="Times New Roman" w:eastAsia="宋体"/>
          <w:sz w:val="20"/>
          <w:szCs w:val="20"/>
          <w:lang w:eastAsia="en-US"/>
        </w:rPr>
        <w:t xml:space="preserve"> of [38.21</w:t>
      </w:r>
      <w:r>
        <w:rPr>
          <w:rFonts w:hint="eastAsia" w:ascii="Times New Roman" w:hAnsi="Times New Roman" w:eastAsia="宋体"/>
          <w:sz w:val="20"/>
          <w:szCs w:val="20"/>
        </w:rPr>
        <w:t>4</w:t>
      </w:r>
      <w:r>
        <w:rPr>
          <w:rFonts w:ascii="Times New Roman" w:hAnsi="Times New Roman" w:eastAsia="宋体"/>
          <w:sz w:val="20"/>
          <w:szCs w:val="20"/>
          <w:lang w:eastAsia="en-US"/>
        </w:rPr>
        <w:t>]</w:t>
      </w:r>
      <w:r>
        <w:rPr>
          <w:rFonts w:ascii="Times New Roman" w:hAnsi="Times New Roman" w:eastAsia="Batang"/>
          <w:sz w:val="20"/>
          <w:szCs w:val="20"/>
          <w:lang w:val="en-GB"/>
        </w:rPr>
        <w:t xml:space="preserve">, two tables for CSI computation delay requirement are introduced, and </w:t>
      </w:r>
      <w:r>
        <w:rPr>
          <w:rFonts w:hint="eastAsia" w:ascii="Times New Roman" w:hAnsi="Times New Roman" w:eastAsia="宋体"/>
          <w:sz w:val="20"/>
          <w:szCs w:val="20"/>
        </w:rPr>
        <w:t>different computation</w:t>
      </w:r>
      <w:r>
        <w:rPr>
          <w:rFonts w:ascii="Times New Roman" w:hAnsi="Times New Roman" w:eastAsia="Batang"/>
          <w:sz w:val="20"/>
          <w:szCs w:val="20"/>
          <w:lang w:val="en-GB"/>
        </w:rPr>
        <w:t xml:space="preserve"> delay requirements for each SCS are introduced </w:t>
      </w:r>
      <w:r>
        <w:rPr>
          <w:rFonts w:hint="eastAsia" w:ascii="Times New Roman" w:hAnsi="Times New Roman" w:eastAsia="宋体"/>
          <w:sz w:val="20"/>
          <w:szCs w:val="20"/>
        </w:rPr>
        <w:t xml:space="preserve">considering many aspects including CPU occupation, CSI report quantity, </w:t>
      </w:r>
      <w:r>
        <w:rPr>
          <w:rFonts w:ascii="Times New Roman" w:hAnsi="Times New Roman" w:eastAsia="宋体"/>
          <w:sz w:val="20"/>
          <w:szCs w:val="20"/>
        </w:rPr>
        <w:t>c</w:t>
      </w:r>
      <w:r>
        <w:rPr>
          <w:rFonts w:hint="eastAsia" w:ascii="Times New Roman" w:hAnsi="Times New Roman" w:eastAsia="宋体"/>
          <w:sz w:val="20"/>
          <w:szCs w:val="20"/>
        </w:rPr>
        <w:t xml:space="preserve">odebook </w:t>
      </w:r>
      <w:r>
        <w:rPr>
          <w:rFonts w:ascii="Times New Roman" w:hAnsi="Times New Roman" w:eastAsia="宋体"/>
          <w:sz w:val="20"/>
          <w:szCs w:val="20"/>
        </w:rPr>
        <w:t>t</w:t>
      </w:r>
      <w:r>
        <w:rPr>
          <w:rFonts w:hint="eastAsia" w:ascii="Times New Roman" w:hAnsi="Times New Roman" w:eastAsia="宋体"/>
          <w:sz w:val="20"/>
          <w:szCs w:val="20"/>
        </w:rPr>
        <w:t>ype, feedback granularity in frequency domain etc.</w:t>
      </w:r>
      <w:r>
        <w:rPr>
          <w:rFonts w:ascii="Times New Roman" w:hAnsi="Times New Roman" w:eastAsia="Batang"/>
          <w:sz w:val="20"/>
          <w:szCs w:val="20"/>
          <w:lang w:val="en-GB"/>
        </w:rPr>
        <w:t>.</w:t>
      </w:r>
      <w:r>
        <w:rPr>
          <w:rFonts w:ascii="Times New Roman" w:hAnsi="Times New Roman" w:eastAsia="Batang"/>
          <w:sz w:val="20"/>
          <w:szCs w:val="20"/>
        </w:rPr>
        <w:t xml:space="preserve"> </w:t>
      </w:r>
      <w:r>
        <w:rPr>
          <w:rFonts w:hint="eastAsia" w:ascii="Times New Roman" w:hAnsi="Times New Roman" w:eastAsia="Batang"/>
          <w:sz w:val="20"/>
          <w:szCs w:val="20"/>
        </w:rPr>
        <w:t xml:space="preserve">The </w:t>
      </w:r>
      <w:r>
        <w:rPr>
          <w:rFonts w:ascii="Times New Roman" w:hAnsi="Times New Roman" w:eastAsia="Batang"/>
          <w:sz w:val="20"/>
          <w:szCs w:val="20"/>
          <w:lang w:val="en-GB" w:eastAsia="en-US"/>
        </w:rPr>
        <w:t>values on Z and Z’</w:t>
      </w:r>
      <w:r>
        <w:rPr>
          <w:rFonts w:hint="eastAsia" w:ascii="Times New Roman" w:hAnsi="Times New Roman" w:eastAsia="宋体"/>
          <w:sz w:val="20"/>
          <w:szCs w:val="20"/>
        </w:rPr>
        <w:t xml:space="preserve"> are separately calculated as </w:t>
      </w:r>
      <m:oMath>
        <m:r>
          <w:rPr>
            <w:rFonts w:ascii="Cambria Math" w:hAnsi="Cambria Math"/>
            <w:sz w:val="20"/>
            <w:szCs w:val="20"/>
          </w:rPr>
          <m:t>Z=</m:t>
        </m:r>
        <m:func>
          <m:funcPr>
            <m:ctrlPr>
              <w:rPr>
                <w:rFonts w:ascii="Cambria Math" w:hAnsi="Cambria Math"/>
                <w:i/>
                <w:sz w:val="20"/>
                <w:szCs w:val="20"/>
              </w:rPr>
            </m:ctrlPr>
          </m:funcPr>
          <m:fName>
            <m:limLow>
              <m:limLowPr>
                <m:ctrlPr>
                  <w:rPr>
                    <w:rFonts w:ascii="Cambria Math" w:hAnsi="Cambria Math"/>
                    <w:i/>
                    <w:sz w:val="20"/>
                    <w:szCs w:val="20"/>
                  </w:rPr>
                </m:ctrlPr>
              </m:limLowPr>
              <m:e>
                <m:r>
                  <m:rPr>
                    <m:sty m:val="p"/>
                  </m:rPr>
                  <w:rPr>
                    <w:rFonts w:ascii="Cambria Math" w:hAnsi="Cambria Math"/>
                    <w:sz w:val="20"/>
                    <w:szCs w:val="20"/>
                  </w:rPr>
                  <m:t>max</m:t>
                </m:r>
                <m:ctrlPr>
                  <w:rPr>
                    <w:rFonts w:ascii="Cambria Math" w:hAnsi="Cambria Math"/>
                    <w:i/>
                    <w:sz w:val="20"/>
                    <w:szCs w:val="20"/>
                  </w:rPr>
                </m:ctrlPr>
              </m:e>
              <m:lim>
                <m:r>
                  <w:rPr>
                    <w:rFonts w:ascii="Cambria Math" w:hAnsi="Cambria Math"/>
                    <w:sz w:val="20"/>
                    <w:szCs w:val="20"/>
                  </w:rPr>
                  <m:t>m=0,…,M-1</m:t>
                </m:r>
                <m:ctrlPr>
                  <w:rPr>
                    <w:rFonts w:ascii="Cambria Math" w:hAnsi="Cambria Math"/>
                    <w:i/>
                    <w:sz w:val="20"/>
                    <w:szCs w:val="20"/>
                  </w:rPr>
                </m:ctrlPr>
              </m:lim>
            </m:limLow>
            <m:ctrlPr>
              <w:rPr>
                <w:rFonts w:ascii="Cambria Math" w:hAnsi="Cambria Math"/>
                <w:i/>
                <w:sz w:val="20"/>
                <w:szCs w:val="20"/>
              </w:rPr>
            </m:ctrlPr>
          </m:fName>
          <m:e>
            <m:r>
              <w:rPr>
                <w:rFonts w:ascii="Cambria Math" w:hAnsi="Cambria Math"/>
                <w:sz w:val="20"/>
                <w:szCs w:val="20"/>
              </w:rPr>
              <m:t>(Z(m))</m:t>
            </m:r>
            <m:ctrlPr>
              <w:rPr>
                <w:rFonts w:ascii="Cambria Math" w:hAnsi="Cambria Math"/>
                <w:i/>
                <w:sz w:val="20"/>
                <w:szCs w:val="20"/>
              </w:rPr>
            </m:ctrlPr>
          </m:e>
        </m:func>
        <m:r>
          <m:rPr>
            <m:sty m:val="p"/>
          </m:rPr>
          <w:rPr>
            <w:rFonts w:ascii="Cambria Math" w:hAnsi="Cambria Math"/>
            <w:sz w:val="20"/>
            <w:szCs w:val="20"/>
          </w:rPr>
          <m:t>⁡</m:t>
        </m:r>
      </m:oMath>
      <w:r>
        <w:rPr>
          <w:rFonts w:ascii="Times New Roman" w:hAnsi="Times New Roman"/>
          <w:sz w:val="20"/>
          <w:szCs w:val="20"/>
        </w:rPr>
        <w:t xml:space="preserve"> and </w:t>
      </w:r>
      <m:oMath>
        <m:r>
          <w:rPr>
            <w:rFonts w:ascii="Cambria Math" w:hAnsi="Cambria Math"/>
            <w:sz w:val="20"/>
            <w:szCs w:val="20"/>
          </w:rPr>
          <m:t>Z'=</m:t>
        </m:r>
        <m:func>
          <m:funcPr>
            <m:ctrlPr>
              <w:rPr>
                <w:rFonts w:ascii="Cambria Math" w:hAnsi="Cambria Math"/>
                <w:i/>
                <w:sz w:val="20"/>
                <w:szCs w:val="20"/>
              </w:rPr>
            </m:ctrlPr>
          </m:funcPr>
          <m:fName>
            <m:limLow>
              <m:limLowPr>
                <m:ctrlPr>
                  <w:rPr>
                    <w:rFonts w:ascii="Cambria Math" w:hAnsi="Cambria Math"/>
                    <w:i/>
                    <w:sz w:val="20"/>
                    <w:szCs w:val="20"/>
                  </w:rPr>
                </m:ctrlPr>
              </m:limLowPr>
              <m:e>
                <m:r>
                  <m:rPr>
                    <m:sty m:val="p"/>
                  </m:rPr>
                  <w:rPr>
                    <w:rFonts w:ascii="Cambria Math" w:hAnsi="Cambria Math"/>
                    <w:sz w:val="20"/>
                    <w:szCs w:val="20"/>
                  </w:rPr>
                  <m:t>max</m:t>
                </m:r>
                <m:ctrlPr>
                  <w:rPr>
                    <w:rFonts w:ascii="Cambria Math" w:hAnsi="Cambria Math"/>
                    <w:i/>
                    <w:sz w:val="20"/>
                    <w:szCs w:val="20"/>
                  </w:rPr>
                </m:ctrlPr>
              </m:e>
              <m:lim>
                <m:r>
                  <w:rPr>
                    <w:rFonts w:ascii="Cambria Math" w:hAnsi="Cambria Math"/>
                    <w:sz w:val="20"/>
                    <w:szCs w:val="20"/>
                  </w:rPr>
                  <m:t>m=0,…,M-1</m:t>
                </m:r>
                <m:ctrlPr>
                  <w:rPr>
                    <w:rFonts w:ascii="Cambria Math" w:hAnsi="Cambria Math"/>
                    <w:i/>
                    <w:sz w:val="20"/>
                    <w:szCs w:val="20"/>
                  </w:rPr>
                </m:ctrlPr>
              </m:lim>
            </m:limLow>
            <m:ctrlPr>
              <w:rPr>
                <w:rFonts w:ascii="Cambria Math" w:hAnsi="Cambria Math"/>
                <w:i/>
                <w:sz w:val="20"/>
                <w:szCs w:val="20"/>
              </w:rPr>
            </m:ctrlPr>
          </m:fName>
          <m:e>
            <m:r>
              <w:rPr>
                <w:rFonts w:ascii="Cambria Math" w:hAnsi="Cambria Math"/>
                <w:sz w:val="20"/>
                <w:szCs w:val="20"/>
              </w:rPr>
              <m:t>(Z'(m))</m:t>
            </m:r>
            <m:ctrlPr>
              <w:rPr>
                <w:rFonts w:ascii="Cambria Math" w:hAnsi="Cambria Math"/>
                <w:i/>
                <w:sz w:val="20"/>
                <w:szCs w:val="20"/>
              </w:rPr>
            </m:ctrlPr>
          </m:e>
        </m:func>
      </m:oMath>
      <w:r>
        <w:rPr>
          <w:rFonts w:ascii="Times New Roman" w:hAnsi="Times New Roman"/>
          <w:sz w:val="20"/>
          <w:szCs w:val="20"/>
        </w:rPr>
        <w:t xml:space="preserve">, where </w:t>
      </w:r>
      <w:r>
        <w:rPr>
          <w:rFonts w:ascii="Times New Roman" w:hAnsi="Times New Roman"/>
          <w:i/>
          <w:sz w:val="20"/>
          <w:szCs w:val="20"/>
        </w:rPr>
        <w:t>M</w:t>
      </w:r>
      <w:r>
        <w:rPr>
          <w:rFonts w:ascii="Times New Roman" w:hAnsi="Times New Roman"/>
          <w:sz w:val="20"/>
          <w:szCs w:val="20"/>
        </w:rPr>
        <w:t xml:space="preserve"> is the number of updated CSI report(s), </w:t>
      </w:r>
      <m:oMath>
        <m:r>
          <w:rPr>
            <w:rFonts w:ascii="Cambria Math" w:hAnsi="Cambria Math"/>
            <w:sz w:val="20"/>
            <w:szCs w:val="20"/>
          </w:rPr>
          <m:t>(Z(m),Z'(m))</m:t>
        </m:r>
      </m:oMath>
      <w:r>
        <w:rPr>
          <w:rFonts w:ascii="Times New Roman" w:hAnsi="Times New Roman"/>
          <w:sz w:val="20"/>
          <w:szCs w:val="20"/>
        </w:rPr>
        <w:t xml:space="preserve"> corresponds to the </w:t>
      </w:r>
      <w:r>
        <w:rPr>
          <w:rFonts w:ascii="Times New Roman" w:hAnsi="Times New Roman"/>
          <w:i/>
          <w:sz w:val="20"/>
          <w:szCs w:val="20"/>
        </w:rPr>
        <w:t>m</w:t>
      </w:r>
      <w:r>
        <w:rPr>
          <w:rFonts w:ascii="Times New Roman" w:hAnsi="Times New Roman"/>
          <w:sz w:val="20"/>
          <w:szCs w:val="20"/>
        </w:rPr>
        <w:t>-th updated CSI report</w:t>
      </w:r>
      <w:r>
        <w:rPr>
          <w:rFonts w:hint="eastAsia" w:ascii="Times New Roman" w:hAnsi="Times New Roman"/>
          <w:sz w:val="20"/>
          <w:szCs w:val="20"/>
        </w:rPr>
        <w:t xml:space="preserve">. </w:t>
      </w:r>
    </w:p>
    <w:p>
      <w:pPr>
        <w:snapToGrid w:val="0"/>
        <w:spacing w:before="180" w:beforeLines="50" w:after="180" w:afterLines="50" w:line="240" w:lineRule="auto"/>
        <w:jc w:val="both"/>
        <w:rPr>
          <w:rFonts w:ascii="Times New Roman" w:hAnsi="Times New Roman"/>
          <w:color w:val="493118"/>
          <w:kern w:val="2"/>
          <w:sz w:val="20"/>
          <w:szCs w:val="20"/>
        </w:rPr>
      </w:pPr>
      <w:r>
        <w:rPr>
          <w:rFonts w:hint="eastAsia" w:ascii="Times New Roman" w:hAnsi="Times New Roman"/>
          <w:sz w:val="20"/>
          <w:szCs w:val="20"/>
        </w:rPr>
        <w:t>For Rel-17 NCJT CSI computation, although joint PMI calculation may require higher implementation complexity, i</w:t>
      </w:r>
      <w:r>
        <w:rPr>
          <w:rFonts w:hint="eastAsia" w:ascii="Times New Roman" w:hAnsi="Times New Roman" w:eastAsia="宋体"/>
          <w:sz w:val="20"/>
          <w:szCs w:val="20"/>
        </w:rPr>
        <w:t xml:space="preserve">t has been agreed that </w:t>
      </w:r>
      <w:r>
        <w:rPr>
          <w:rFonts w:hint="eastAsia" w:ascii="Times New Roman" w:hAnsi="Times New Roman" w:eastAsia="Batang"/>
          <w:sz w:val="20"/>
          <w:szCs w:val="20"/>
        </w:rPr>
        <w:t xml:space="preserve">two CPUs </w:t>
      </w:r>
      <w:r>
        <w:rPr>
          <w:rFonts w:hint="eastAsia" w:ascii="Times New Roman" w:hAnsi="Times New Roman" w:eastAsia="宋体"/>
          <w:sz w:val="20"/>
          <w:szCs w:val="20"/>
        </w:rPr>
        <w:t>are</w:t>
      </w:r>
      <w:r>
        <w:rPr>
          <w:rFonts w:hint="eastAsia" w:ascii="Times New Roman" w:hAnsi="Times New Roman" w:eastAsia="Batang"/>
          <w:sz w:val="20"/>
          <w:szCs w:val="20"/>
        </w:rPr>
        <w:t xml:space="preserve"> occupied for NCJT </w:t>
      </w:r>
      <w:r>
        <w:rPr>
          <w:rFonts w:ascii="Times New Roman" w:hAnsi="Times New Roman" w:eastAsia="Batang"/>
          <w:sz w:val="20"/>
          <w:szCs w:val="20"/>
          <w:lang w:val="en-GB"/>
        </w:rPr>
        <w:t>CSI computation</w:t>
      </w:r>
      <w:r>
        <w:rPr>
          <w:rFonts w:hint="eastAsia" w:ascii="Times New Roman" w:hAnsi="Times New Roman" w:eastAsia="Batang"/>
          <w:sz w:val="20"/>
          <w:szCs w:val="20"/>
        </w:rPr>
        <w:t>.</w:t>
      </w:r>
      <w:r>
        <w:rPr>
          <w:rFonts w:hint="eastAsia" w:ascii="Times New Roman" w:hAnsi="Times New Roman" w:eastAsia="宋体"/>
          <w:sz w:val="20"/>
          <w:szCs w:val="20"/>
        </w:rPr>
        <w:t xml:space="preserve"> That is, UE complexity has been considered for NCJT CSI computation. Therefore, we don</w:t>
      </w:r>
      <w:r>
        <w:rPr>
          <w:rFonts w:ascii="Times New Roman" w:hAnsi="Times New Roman" w:eastAsia="宋体"/>
          <w:sz w:val="20"/>
          <w:szCs w:val="20"/>
        </w:rPr>
        <w:t>’</w:t>
      </w:r>
      <w:r>
        <w:rPr>
          <w:rFonts w:hint="eastAsia" w:ascii="Times New Roman" w:hAnsi="Times New Roman" w:eastAsia="宋体"/>
          <w:sz w:val="20"/>
          <w:szCs w:val="20"/>
        </w:rPr>
        <w:t xml:space="preserve">t </w:t>
      </w:r>
      <w:r>
        <w:rPr>
          <w:rFonts w:ascii="Times New Roman" w:hAnsi="Times New Roman" w:eastAsia="宋体"/>
          <w:sz w:val="20"/>
          <w:szCs w:val="20"/>
        </w:rPr>
        <w:t xml:space="preserve">need </w:t>
      </w:r>
      <w:r>
        <w:rPr>
          <w:rFonts w:hint="eastAsia" w:ascii="Times New Roman" w:hAnsi="Times New Roman" w:eastAsia="宋体"/>
          <w:sz w:val="20"/>
          <w:szCs w:val="20"/>
        </w:rPr>
        <w:t>new</w:t>
      </w:r>
      <w:r>
        <w:rPr>
          <w:rFonts w:ascii="Times New Roman" w:hAnsi="Times New Roman" w:eastAsia="宋体"/>
          <w:sz w:val="20"/>
          <w:szCs w:val="20"/>
        </w:rPr>
        <w:t xml:space="preserve"> and </w:t>
      </w:r>
      <w:r>
        <w:rPr>
          <w:rFonts w:hint="eastAsia" w:ascii="Times New Roman" w:hAnsi="Times New Roman" w:eastAsia="宋体"/>
          <w:sz w:val="20"/>
          <w:szCs w:val="20"/>
        </w:rPr>
        <w:t>relaxed values on Z and Z</w:t>
      </w:r>
      <w:r>
        <w:rPr>
          <w:rFonts w:ascii="Times New Roman" w:hAnsi="Times New Roman" w:eastAsia="宋体"/>
          <w:sz w:val="20"/>
          <w:szCs w:val="20"/>
        </w:rPr>
        <w:t>’</w:t>
      </w:r>
      <w:r>
        <w:rPr>
          <w:rFonts w:hint="eastAsia" w:ascii="Times New Roman" w:hAnsi="Times New Roman" w:eastAsia="宋体"/>
          <w:sz w:val="20"/>
          <w:szCs w:val="20"/>
        </w:rPr>
        <w:t xml:space="preserve">. As at least two CMRs should be configured for Rel-17 NCJT CSI computation,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Z</m:t>
            </m:r>
            <m:ctrlPr>
              <w:rPr>
                <w:rFonts w:ascii="Cambria Math" w:hAnsi="Cambria Math"/>
                <w:i/>
                <w:sz w:val="20"/>
                <w:szCs w:val="20"/>
              </w:rPr>
            </m:ctrlPr>
          </m:e>
          <m:sub>
            <m:r>
              <w:rPr>
                <w:rFonts w:ascii="Cambria Math" w:hAnsi="Cambria Math"/>
                <w:sz w:val="20"/>
                <w:szCs w:val="20"/>
              </w:rPr>
              <m:t>2</m:t>
            </m:r>
            <m:ctrlPr>
              <w:rPr>
                <w:rFonts w:ascii="Cambria Math" w:hAnsi="Cambria Math"/>
                <w:i/>
                <w:sz w:val="20"/>
                <w:szCs w:val="20"/>
              </w:rPr>
            </m:ctrlP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ctrlPr>
              <w:rPr>
                <w:rFonts w:ascii="Cambria Math" w:hAnsi="Cambria Math"/>
                <w:i/>
                <w:sz w:val="20"/>
                <w:szCs w:val="20"/>
              </w:rPr>
            </m:ctrlPr>
          </m:e>
          <m:sub>
            <m:r>
              <w:rPr>
                <w:rFonts w:ascii="Cambria Math" w:hAnsi="Cambria Math"/>
                <w:sz w:val="20"/>
                <w:szCs w:val="20"/>
              </w:rPr>
              <m:t>2</m:t>
            </m:r>
            <m:ctrlPr>
              <w:rPr>
                <w:rFonts w:ascii="Cambria Math" w:hAnsi="Cambria Math"/>
                <w:i/>
                <w:sz w:val="20"/>
                <w:szCs w:val="20"/>
              </w:rPr>
            </m:ctrlPr>
          </m:sub>
          <m:sup>
            <m:r>
              <w:rPr>
                <w:rFonts w:ascii="Cambria Math" w:hAnsi="Cambria Math"/>
                <w:sz w:val="20"/>
                <w:szCs w:val="20"/>
              </w:rPr>
              <m:t>'</m:t>
            </m:r>
            <m:ctrlPr>
              <w:rPr>
                <w:rFonts w:ascii="Cambria Math" w:hAnsi="Cambria Math"/>
                <w:i/>
                <w:sz w:val="20"/>
                <w:szCs w:val="20"/>
              </w:rPr>
            </m:ctrlPr>
          </m:sup>
        </m:sSubSup>
        <m:r>
          <w:rPr>
            <w:rFonts w:ascii="Cambria Math" w:hAnsi="Cambria Math"/>
            <w:sz w:val="20"/>
            <w:szCs w:val="20"/>
          </w:rPr>
          <m:t>)</m:t>
        </m:r>
      </m:oMath>
      <w:r>
        <w:rPr>
          <w:rFonts w:ascii="Times New Roman" w:hAnsi="Times New Roman"/>
          <w:sz w:val="20"/>
          <w:szCs w:val="20"/>
        </w:rPr>
        <w:t xml:space="preserve"> of table 5.4-2 </w:t>
      </w:r>
      <w:r>
        <w:rPr>
          <w:rFonts w:hint="eastAsia" w:ascii="Times New Roman" w:hAnsi="Times New Roman"/>
          <w:sz w:val="20"/>
          <w:szCs w:val="20"/>
        </w:rPr>
        <w:t xml:space="preserve">in 38.214 can be reused. That is because the prerequisite of using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Z</m:t>
            </m:r>
            <m:ctrlPr>
              <w:rPr>
                <w:rFonts w:ascii="Cambria Math" w:hAnsi="Cambria Math"/>
                <w:i/>
                <w:sz w:val="20"/>
                <w:szCs w:val="20"/>
              </w:rPr>
            </m:ctrlPr>
          </m:e>
          <m:sub>
            <m:r>
              <w:rPr>
                <w:rFonts w:ascii="Cambria Math" w:hAnsi="Cambria Math"/>
                <w:sz w:val="20"/>
                <w:szCs w:val="20"/>
              </w:rPr>
              <m:t>1</m:t>
            </m:r>
            <m:ctrlPr>
              <w:rPr>
                <w:rFonts w:ascii="Cambria Math" w:hAnsi="Cambria Math"/>
                <w:i/>
                <w:sz w:val="20"/>
                <w:szCs w:val="20"/>
              </w:rPr>
            </m:ctrlP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ctrlPr>
              <w:rPr>
                <w:rFonts w:ascii="Cambria Math" w:hAnsi="Cambria Math"/>
                <w:i/>
                <w:sz w:val="20"/>
                <w:szCs w:val="20"/>
              </w:rPr>
            </m:ctrlPr>
          </m:e>
          <m:sub>
            <m:r>
              <w:rPr>
                <w:rFonts w:ascii="Cambria Math" w:hAnsi="Cambria Math"/>
                <w:sz w:val="20"/>
                <w:szCs w:val="20"/>
              </w:rPr>
              <m:t>1</m:t>
            </m:r>
            <m:ctrlPr>
              <w:rPr>
                <w:rFonts w:ascii="Cambria Math" w:hAnsi="Cambria Math"/>
                <w:i/>
                <w:sz w:val="20"/>
                <w:szCs w:val="20"/>
              </w:rPr>
            </m:ctrlPr>
          </m:sub>
          <m:sup>
            <m:r>
              <w:rPr>
                <w:rFonts w:ascii="Cambria Math" w:hAnsi="Cambria Math"/>
                <w:sz w:val="20"/>
                <w:szCs w:val="20"/>
              </w:rPr>
              <m:t>'</m:t>
            </m:r>
            <m:ctrlPr>
              <w:rPr>
                <w:rFonts w:ascii="Cambria Math" w:hAnsi="Cambria Math"/>
                <w:i/>
                <w:sz w:val="20"/>
                <w:szCs w:val="20"/>
              </w:rPr>
            </m:ctrlPr>
          </m:sup>
        </m:sSubSup>
        <m:r>
          <w:rPr>
            <w:rFonts w:ascii="Cambria Math" w:hAnsi="Cambria Math"/>
            <w:sz w:val="20"/>
            <w:szCs w:val="20"/>
          </w:rPr>
          <m:t>)</m:t>
        </m:r>
      </m:oMath>
      <w:r>
        <w:rPr>
          <w:rFonts w:ascii="Times New Roman" w:hAnsi="Times New Roman"/>
          <w:sz w:val="20"/>
          <w:szCs w:val="20"/>
        </w:rPr>
        <w:t xml:space="preserve"> of the table 5.4 in 38.214 is single CSI-RS resource.</w:t>
      </w:r>
    </w:p>
    <w:p>
      <w:pPr>
        <w:snapToGrid w:val="0"/>
        <w:spacing w:after="0" w:line="240" w:lineRule="exact"/>
        <w:jc w:val="both"/>
        <w:rPr>
          <w:rFonts w:ascii="Times New Roman" w:hAnsi="Times New Roman" w:eastAsia="Batang"/>
          <w:i/>
          <w:iCs/>
          <w:sz w:val="20"/>
          <w:szCs w:val="20"/>
        </w:rPr>
      </w:pPr>
      <w:r>
        <w:rPr>
          <w:rFonts w:ascii="Times New Roman" w:hAnsi="Times New Roman" w:eastAsia="Batang"/>
          <w:b/>
          <w:bCs/>
          <w:i/>
          <w:iCs/>
          <w:sz w:val="20"/>
          <w:szCs w:val="20"/>
        </w:rPr>
        <w:t>Proposal</w:t>
      </w:r>
      <w:r>
        <w:rPr>
          <w:rFonts w:hint="eastAsia" w:ascii="Times New Roman" w:hAnsi="Times New Roman" w:eastAsia="Batang"/>
          <w:b/>
          <w:bCs/>
          <w:i/>
          <w:iCs/>
          <w:sz w:val="20"/>
          <w:szCs w:val="20"/>
        </w:rPr>
        <w:t xml:space="preserve"> 3:</w:t>
      </w:r>
      <w:r>
        <w:rPr>
          <w:rFonts w:hint="eastAsia" w:ascii="Times New Roman" w:hAnsi="Times New Roman" w:eastAsia="Batang"/>
          <w:i/>
          <w:iCs/>
          <w:sz w:val="20"/>
          <w:szCs w:val="20"/>
        </w:rPr>
        <w:t xml:space="preserve"> </w:t>
      </w:r>
      <w:r>
        <w:rPr>
          <w:rFonts w:ascii="Times New Roman" w:hAnsi="Times New Roman" w:eastAsia="Batang"/>
          <w:i/>
          <w:iCs/>
          <w:sz w:val="20"/>
          <w:szCs w:val="20"/>
          <w:lang w:val="en-GB" w:eastAsia="en-US"/>
        </w:rPr>
        <w:t>For CSI computation delay requirement associated with a CSI-ReportingConfig for a NCJT measurement hypothesis</w:t>
      </w:r>
      <w:r>
        <w:rPr>
          <w:rFonts w:hint="eastAsia" w:ascii="Times New Roman" w:hAnsi="Times New Roman" w:eastAsia="Batang"/>
          <w:i/>
          <w:iCs/>
          <w:sz w:val="20"/>
          <w:szCs w:val="20"/>
        </w:rPr>
        <w:t>, support Alt 2</w:t>
      </w:r>
    </w:p>
    <w:p>
      <w:pPr>
        <w:numPr>
          <w:ilvl w:val="0"/>
          <w:numId w:val="7"/>
        </w:numPr>
        <w:snapToGrid w:val="0"/>
        <w:spacing w:after="0" w:line="240" w:lineRule="exact"/>
        <w:jc w:val="both"/>
        <w:rPr>
          <w:rFonts w:ascii="Times New Roman" w:hAnsi="Times New Roman"/>
          <w:sz w:val="20"/>
          <w:szCs w:val="20"/>
        </w:rPr>
      </w:pPr>
      <w:r>
        <w:rPr>
          <w:rFonts w:ascii="Times New Roman" w:hAnsi="Times New Roman" w:eastAsia="Batang"/>
          <w:i/>
          <w:iCs/>
          <w:sz w:val="20"/>
          <w:szCs w:val="20"/>
          <w:lang w:val="en-GB" w:eastAsia="en-US"/>
        </w:rPr>
        <w:t>No changes of values on Z and Z’</w:t>
      </w:r>
    </w:p>
    <w:p>
      <w:pPr>
        <w:numPr>
          <w:ilvl w:val="0"/>
          <w:numId w:val="7"/>
        </w:numPr>
        <w:snapToGrid w:val="0"/>
        <w:spacing w:after="0" w:line="240" w:lineRule="auto"/>
        <w:jc w:val="both"/>
        <w:rPr>
          <w:rFonts w:ascii="Times New Roman" w:hAnsi="Times New Roman"/>
          <w:sz w:val="20"/>
          <w:szCs w:val="20"/>
        </w:rPr>
      </w:pP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Z</m:t>
            </m:r>
            <m:ctrlPr>
              <w:rPr>
                <w:rFonts w:ascii="Cambria Math" w:hAnsi="Cambria Math"/>
                <w:i/>
                <w:sz w:val="20"/>
                <w:szCs w:val="20"/>
              </w:rPr>
            </m:ctrlPr>
          </m:e>
          <m:sub>
            <m:r>
              <w:rPr>
                <w:rFonts w:ascii="Cambria Math" w:hAnsi="Cambria Math"/>
                <w:sz w:val="20"/>
                <w:szCs w:val="20"/>
              </w:rPr>
              <m:t>2</m:t>
            </m:r>
            <m:ctrlPr>
              <w:rPr>
                <w:rFonts w:ascii="Cambria Math" w:hAnsi="Cambria Math"/>
                <w:i/>
                <w:sz w:val="20"/>
                <w:szCs w:val="20"/>
              </w:rPr>
            </m:ctrlP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ctrlPr>
              <w:rPr>
                <w:rFonts w:ascii="Cambria Math" w:hAnsi="Cambria Math"/>
                <w:i/>
                <w:sz w:val="20"/>
                <w:szCs w:val="20"/>
              </w:rPr>
            </m:ctrlPr>
          </m:e>
          <m:sub>
            <m:r>
              <w:rPr>
                <w:rFonts w:ascii="Cambria Math" w:hAnsi="Cambria Math"/>
                <w:sz w:val="20"/>
                <w:szCs w:val="20"/>
              </w:rPr>
              <m:t>2</m:t>
            </m:r>
            <m:ctrlPr>
              <w:rPr>
                <w:rFonts w:ascii="Cambria Math" w:hAnsi="Cambria Math"/>
                <w:i/>
                <w:sz w:val="20"/>
                <w:szCs w:val="20"/>
              </w:rPr>
            </m:ctrlPr>
          </m:sub>
          <m:sup>
            <m:r>
              <w:rPr>
                <w:rFonts w:ascii="Cambria Math" w:hAnsi="Cambria Math"/>
                <w:sz w:val="20"/>
                <w:szCs w:val="20"/>
              </w:rPr>
              <m:t>'</m:t>
            </m:r>
            <m:ctrlPr>
              <w:rPr>
                <w:rFonts w:ascii="Cambria Math" w:hAnsi="Cambria Math"/>
                <w:i/>
                <w:sz w:val="20"/>
                <w:szCs w:val="20"/>
              </w:rPr>
            </m:ctrlPr>
          </m:sup>
        </m:sSubSup>
        <m:r>
          <w:rPr>
            <w:rFonts w:ascii="Cambria Math" w:hAnsi="Cambria Math"/>
            <w:sz w:val="20"/>
            <w:szCs w:val="20"/>
          </w:rPr>
          <m:t>)</m:t>
        </m:r>
      </m:oMath>
      <w:r>
        <w:rPr>
          <w:rFonts w:ascii="Times New Roman" w:hAnsi="Times New Roman"/>
          <w:sz w:val="20"/>
          <w:szCs w:val="20"/>
        </w:rPr>
        <w:t xml:space="preserve"> of table 5.4-2 </w:t>
      </w:r>
      <w:r>
        <w:rPr>
          <w:rFonts w:hint="eastAsia" w:ascii="Times New Roman" w:hAnsi="Times New Roman"/>
          <w:sz w:val="20"/>
          <w:szCs w:val="20"/>
        </w:rPr>
        <w:t>in 38.214 is used</w:t>
      </w:r>
    </w:p>
    <w:p>
      <w:pPr>
        <w:keepNext/>
        <w:keepLines/>
        <w:snapToGrid w:val="0"/>
        <w:spacing w:before="260" w:after="180" w:afterLines="50" w:line="240" w:lineRule="auto"/>
        <w:outlineLvl w:val="1"/>
        <w:rPr>
          <w:rFonts w:ascii="Arial" w:hAnsi="Arial"/>
          <w:sz w:val="24"/>
          <w:szCs w:val="24"/>
        </w:rPr>
      </w:pPr>
      <w:r>
        <w:rPr>
          <w:rFonts w:hint="eastAsia" w:ascii="Arial" w:hAnsi="Arial"/>
          <w:sz w:val="24"/>
          <w:szCs w:val="24"/>
        </w:rPr>
        <w:t>2.4 RI restriction</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6"/>
              <w:snapToGrid w:val="0"/>
              <w:spacing w:line="240" w:lineRule="exact"/>
              <w:jc w:val="both"/>
              <w:rPr>
                <w:rStyle w:val="31"/>
                <w:rFonts w:ascii="Times New Roman" w:hAnsi="Times New Roman" w:cs="Times New Roman"/>
                <w:sz w:val="20"/>
                <w:szCs w:val="20"/>
                <w:highlight w:val="green"/>
              </w:rPr>
            </w:pPr>
            <w:r>
              <w:rPr>
                <w:rStyle w:val="31"/>
                <w:rFonts w:ascii="Times New Roman" w:hAnsi="Times New Roman" w:cs="Times New Roman"/>
                <w:sz w:val="20"/>
                <w:szCs w:val="20"/>
              </w:rPr>
              <w:t>Agreement</w:t>
            </w:r>
            <w:r>
              <w:rPr>
                <w:rStyle w:val="31"/>
                <w:rFonts w:hint="eastAsia" w:ascii="Times New Roman" w:hAnsi="Times New Roman" w:cs="Times New Roman"/>
                <w:sz w:val="20"/>
                <w:szCs w:val="20"/>
              </w:rPr>
              <w:t>#4</w:t>
            </w:r>
          </w:p>
          <w:p>
            <w:pPr>
              <w:pStyle w:val="26"/>
              <w:snapToGrid w:val="0"/>
              <w:spacing w:line="240" w:lineRule="exact"/>
              <w:jc w:val="both"/>
              <w:rPr>
                <w:rFonts w:ascii="Times New Roman" w:hAnsi="Times New Roman" w:cs="Times New Roman"/>
                <w:b/>
                <w:bCs/>
                <w:sz w:val="20"/>
                <w:szCs w:val="20"/>
              </w:rPr>
            </w:pPr>
            <w:r>
              <w:rPr>
                <w:rStyle w:val="31"/>
                <w:rFonts w:ascii="Times New Roman" w:hAnsi="Times New Roman" w:cs="Times New Roman"/>
                <w:b w:val="0"/>
                <w:sz w:val="20"/>
                <w:szCs w:val="20"/>
              </w:rPr>
              <w:t>For a CSI report associated with a Multi-TRP/panel NCJT measurement hypothesis configured by single CSI reporting setting, support RI restriction by selecting at most one alternative from the following in RAN1#106bis-e:</w:t>
            </w:r>
            <w:r>
              <w:rPr>
                <w:rFonts w:ascii="Times New Roman" w:hAnsi="Times New Roman" w:cs="Times New Roman"/>
                <w:b/>
                <w:bCs/>
                <w:sz w:val="20"/>
                <w:szCs w:val="20"/>
              </w:rPr>
              <w:t xml:space="preserve"> </w:t>
            </w:r>
          </w:p>
          <w:p>
            <w:pPr>
              <w:pStyle w:val="26"/>
              <w:numPr>
                <w:ilvl w:val="0"/>
                <w:numId w:val="8"/>
              </w:numPr>
              <w:snapToGrid w:val="0"/>
              <w:spacing w:line="240" w:lineRule="exact"/>
              <w:jc w:val="both"/>
              <w:rPr>
                <w:rFonts w:ascii="Times New Roman" w:hAnsi="Times New Roman" w:cs="Times New Roman"/>
                <w:b/>
                <w:bCs/>
                <w:sz w:val="20"/>
                <w:szCs w:val="20"/>
              </w:rPr>
            </w:pPr>
            <w:r>
              <w:rPr>
                <w:rStyle w:val="31"/>
                <w:rFonts w:ascii="Times New Roman" w:hAnsi="Times New Roman" w:cs="Times New Roman"/>
                <w:b w:val="0"/>
                <w:sz w:val="20"/>
                <w:szCs w:val="20"/>
              </w:rPr>
              <w:t xml:space="preserve">Alt 1: One RI restriction is configured per CodebookConfig, whereas the RI restriction is applied to both Single-TRP and NCJT measurement hypotheses. </w:t>
            </w:r>
          </w:p>
          <w:p>
            <w:pPr>
              <w:pStyle w:val="26"/>
              <w:numPr>
                <w:ilvl w:val="1"/>
                <w:numId w:val="8"/>
              </w:numPr>
              <w:snapToGrid w:val="0"/>
              <w:spacing w:line="240" w:lineRule="exact"/>
              <w:jc w:val="both"/>
              <w:rPr>
                <w:rFonts w:ascii="Times New Roman" w:hAnsi="Times New Roman" w:cs="Times New Roman"/>
                <w:b/>
                <w:bCs/>
                <w:sz w:val="20"/>
                <w:szCs w:val="20"/>
              </w:rPr>
            </w:pPr>
            <w:r>
              <w:rPr>
                <w:rStyle w:val="31"/>
                <w:rFonts w:ascii="Times New Roman" w:hAnsi="Times New Roman" w:cs="Times New Roman"/>
                <w:b w:val="0"/>
                <w:sz w:val="20"/>
                <w:szCs w:val="20"/>
              </w:rPr>
              <w:t>If rank restriction of X is configured, reported rank is X for a Single-TRP measurement hypothesis and sum of two reported ranks is X for a Multi-TRP measurement hypothesis.</w:t>
            </w:r>
            <w:r>
              <w:rPr>
                <w:rFonts w:ascii="Times New Roman" w:hAnsi="Times New Roman" w:cs="Times New Roman"/>
                <w:b/>
                <w:bCs/>
                <w:sz w:val="20"/>
                <w:szCs w:val="20"/>
              </w:rPr>
              <w:t xml:space="preserve"> </w:t>
            </w:r>
          </w:p>
          <w:p>
            <w:pPr>
              <w:pStyle w:val="26"/>
              <w:numPr>
                <w:ilvl w:val="0"/>
                <w:numId w:val="8"/>
              </w:numPr>
              <w:snapToGrid w:val="0"/>
              <w:spacing w:line="240" w:lineRule="exact"/>
              <w:jc w:val="both"/>
              <w:rPr>
                <w:rFonts w:ascii="Times New Roman" w:hAnsi="Times New Roman" w:cs="Times New Roman"/>
                <w:b/>
                <w:bCs/>
                <w:sz w:val="20"/>
                <w:szCs w:val="20"/>
              </w:rPr>
            </w:pPr>
            <w:r>
              <w:rPr>
                <w:rStyle w:val="31"/>
                <w:rFonts w:ascii="Times New Roman" w:hAnsi="Times New Roman" w:cs="Times New Roman"/>
                <w:b w:val="0"/>
                <w:sz w:val="20"/>
                <w:szCs w:val="20"/>
              </w:rPr>
              <w:t>Alt 2: Two RI restrictions can be configured per CodebookConfig, whereas one RI restriction is applied to one CMR group in a CMR resource set respectively, i.e. per TRP.</w:t>
            </w:r>
            <w:r>
              <w:rPr>
                <w:rFonts w:ascii="Times New Roman" w:hAnsi="Times New Roman" w:cs="Times New Roman"/>
                <w:b/>
                <w:bCs/>
                <w:sz w:val="20"/>
                <w:szCs w:val="20"/>
              </w:rPr>
              <w:t xml:space="preserve"> </w:t>
            </w:r>
          </w:p>
          <w:p>
            <w:pPr>
              <w:pStyle w:val="26"/>
              <w:numPr>
                <w:ilvl w:val="1"/>
                <w:numId w:val="8"/>
              </w:numPr>
              <w:snapToGrid w:val="0"/>
              <w:spacing w:line="240" w:lineRule="exact"/>
              <w:jc w:val="both"/>
              <w:rPr>
                <w:rFonts w:ascii="Times New Roman" w:hAnsi="Times New Roman" w:cs="Times New Roman"/>
                <w:b/>
                <w:bCs/>
                <w:sz w:val="20"/>
                <w:szCs w:val="20"/>
              </w:rPr>
            </w:pPr>
            <w:r>
              <w:rPr>
                <w:rStyle w:val="31"/>
                <w:rFonts w:ascii="Times New Roman" w:hAnsi="Times New Roman" w:cs="Times New Roman"/>
                <w:b w:val="0"/>
                <w:sz w:val="20"/>
                <w:szCs w:val="20"/>
              </w:rPr>
              <w:t xml:space="preserve">If rank restriction of (X, Y) is configured, reported rank is X for the CMR in the first CMR group and Y for the CMR in the second CMR group, regardless single-TRP and NCJT measurement hypotheses. </w:t>
            </w:r>
          </w:p>
          <w:p>
            <w:pPr>
              <w:pStyle w:val="26"/>
              <w:numPr>
                <w:ilvl w:val="0"/>
                <w:numId w:val="8"/>
              </w:numPr>
              <w:snapToGrid w:val="0"/>
              <w:spacing w:line="240" w:lineRule="exact"/>
              <w:jc w:val="both"/>
              <w:rPr>
                <w:rFonts w:ascii="Times New Roman" w:hAnsi="Times New Roman" w:cs="Times New Roman"/>
                <w:b/>
                <w:bCs/>
                <w:sz w:val="20"/>
                <w:szCs w:val="20"/>
              </w:rPr>
            </w:pPr>
            <w:r>
              <w:rPr>
                <w:rStyle w:val="31"/>
                <w:rFonts w:ascii="Times New Roman" w:hAnsi="Times New Roman" w:cs="Times New Roman"/>
                <w:b w:val="0"/>
                <w:sz w:val="20"/>
                <w:szCs w:val="20"/>
              </w:rPr>
              <w:t>Alt 3: Multiple RI restrictions can be configured per CodebookConfig, whereas RI restriction is applied to per each CMR in CMR pair for NCJT and per each CMR for Single-TRP.</w:t>
            </w:r>
            <w:r>
              <w:rPr>
                <w:rFonts w:ascii="Times New Roman" w:hAnsi="Times New Roman" w:cs="Times New Roman"/>
                <w:b/>
                <w:bCs/>
                <w:sz w:val="20"/>
                <w:szCs w:val="20"/>
              </w:rPr>
              <w:t xml:space="preserve">  </w:t>
            </w:r>
          </w:p>
          <w:p>
            <w:pPr>
              <w:pStyle w:val="26"/>
              <w:numPr>
                <w:ilvl w:val="0"/>
                <w:numId w:val="8"/>
              </w:numPr>
              <w:snapToGrid w:val="0"/>
              <w:spacing w:line="240" w:lineRule="exact"/>
              <w:jc w:val="both"/>
              <w:rPr>
                <w:rFonts w:ascii="Times New Roman" w:hAnsi="Times New Roman" w:cs="Times New Roman"/>
                <w:b/>
                <w:bCs/>
                <w:sz w:val="20"/>
                <w:szCs w:val="20"/>
              </w:rPr>
            </w:pPr>
            <w:r>
              <w:rPr>
                <w:rStyle w:val="31"/>
                <w:rFonts w:ascii="Times New Roman" w:hAnsi="Times New Roman" w:cs="Times New Roman"/>
                <w:b w:val="0"/>
                <w:sz w:val="20"/>
                <w:szCs w:val="20"/>
              </w:rPr>
              <w:t>Alt 4: Two RI restrictions can be configured per CodebookConfig, whereas one RI restriction is applied to all Single-TRP measurement hypotheses, and another one is applied to all NCJT measurement hypotheses.</w:t>
            </w:r>
            <w:r>
              <w:rPr>
                <w:rFonts w:ascii="Times New Roman" w:hAnsi="Times New Roman" w:cs="Times New Roman"/>
                <w:b/>
                <w:bCs/>
                <w:sz w:val="20"/>
                <w:szCs w:val="20"/>
              </w:rPr>
              <w:t xml:space="preserve"> </w:t>
            </w:r>
          </w:p>
          <w:p>
            <w:pPr>
              <w:pStyle w:val="26"/>
              <w:numPr>
                <w:ilvl w:val="1"/>
                <w:numId w:val="8"/>
              </w:numPr>
              <w:snapToGrid w:val="0"/>
              <w:spacing w:line="240" w:lineRule="exact"/>
              <w:jc w:val="both"/>
              <w:rPr>
                <w:rFonts w:ascii="Times New Roman" w:hAnsi="Times New Roman" w:cs="Times New Roman"/>
                <w:b/>
                <w:bCs/>
                <w:sz w:val="20"/>
                <w:szCs w:val="20"/>
              </w:rPr>
            </w:pPr>
            <w:r>
              <w:rPr>
                <w:rStyle w:val="31"/>
                <w:rFonts w:ascii="Times New Roman" w:hAnsi="Times New Roman" w:cs="Times New Roman"/>
                <w:b w:val="0"/>
                <w:sz w:val="20"/>
                <w:szCs w:val="20"/>
              </w:rPr>
              <w:t xml:space="preserve">If rank restriction of (X, Y) is configured, reported rank is X for all single-TRP measurement hypotheses and reported rank (1 out of 4 possible rank combinations) is Y for all NCJT measurement hypotheses. </w:t>
            </w:r>
          </w:p>
          <w:p>
            <w:pPr>
              <w:pStyle w:val="26"/>
              <w:numPr>
                <w:ilvl w:val="0"/>
                <w:numId w:val="8"/>
              </w:numPr>
              <w:snapToGrid w:val="0"/>
              <w:spacing w:line="240" w:lineRule="exact"/>
              <w:jc w:val="both"/>
              <w:rPr>
                <w:rFonts w:ascii="Times New Roman" w:hAnsi="Times New Roman" w:cs="Times New Roman"/>
                <w:b/>
                <w:bCs/>
                <w:sz w:val="20"/>
                <w:szCs w:val="20"/>
              </w:rPr>
            </w:pPr>
            <w:r>
              <w:rPr>
                <w:rStyle w:val="31"/>
                <w:rFonts w:ascii="Times New Roman" w:hAnsi="Times New Roman" w:cs="Times New Roman"/>
                <w:b w:val="0"/>
                <w:sz w:val="20"/>
                <w:szCs w:val="20"/>
              </w:rPr>
              <w:t>Alt 5: Three RI restrictions can be configured per CodebookConfig, whereas two RI restrictions are applied to two CMR groups in a CMR resource set respectively for Single-TRP measurement hypothesis, and the third one is applied to all NCJT measurement hypotheses.</w:t>
            </w:r>
            <w:r>
              <w:rPr>
                <w:rFonts w:ascii="Times New Roman" w:hAnsi="Times New Roman" w:cs="Times New Roman"/>
                <w:b/>
                <w:bCs/>
                <w:sz w:val="20"/>
                <w:szCs w:val="20"/>
              </w:rPr>
              <w:t xml:space="preserve"> </w:t>
            </w:r>
          </w:p>
          <w:p>
            <w:pPr>
              <w:pStyle w:val="26"/>
              <w:numPr>
                <w:ilvl w:val="1"/>
                <w:numId w:val="8"/>
              </w:numPr>
              <w:snapToGrid w:val="0"/>
              <w:spacing w:line="240" w:lineRule="exact"/>
              <w:jc w:val="both"/>
              <w:rPr>
                <w:rFonts w:ascii="Times New Roman" w:hAnsi="Times New Roman" w:cs="Times New Roman"/>
                <w:b/>
                <w:bCs/>
                <w:sz w:val="20"/>
                <w:szCs w:val="20"/>
              </w:rPr>
            </w:pPr>
            <w:r>
              <w:rPr>
                <w:rStyle w:val="31"/>
                <w:rFonts w:ascii="Times New Roman" w:hAnsi="Times New Roman" w:cs="Times New Roman"/>
                <w:b w:val="0"/>
                <w:sz w:val="20"/>
                <w:szCs w:val="20"/>
              </w:rPr>
              <w:t>If rank restriction of (X1, X2, Y) is configured, reported rank is X1, X2 for each CMR group respectively for single-TRP measurement hypotheses and reported rank (1 out of 4 possible rank combinations) is Y for all NCJT measurement hypotheses.</w:t>
            </w:r>
          </w:p>
          <w:p>
            <w:pPr>
              <w:pStyle w:val="26"/>
              <w:numPr>
                <w:ilvl w:val="0"/>
                <w:numId w:val="8"/>
              </w:numPr>
              <w:snapToGrid w:val="0"/>
              <w:spacing w:line="240" w:lineRule="exact"/>
              <w:jc w:val="both"/>
              <w:rPr>
                <w:rFonts w:ascii="Times New Roman" w:hAnsi="Times New Roman" w:cs="Times New Roman"/>
                <w:sz w:val="20"/>
                <w:szCs w:val="20"/>
              </w:rPr>
            </w:pPr>
            <w:r>
              <w:rPr>
                <w:rStyle w:val="31"/>
                <w:rFonts w:ascii="Times New Roman" w:hAnsi="Times New Roman" w:cs="Times New Roman"/>
                <w:b w:val="0"/>
                <w:sz w:val="20"/>
                <w:szCs w:val="20"/>
              </w:rPr>
              <w:t>Alt 6:</w:t>
            </w:r>
            <w:r>
              <w:rPr>
                <w:rFonts w:ascii="Times New Roman" w:hAnsi="Times New Roman" w:cs="Times New Roman"/>
                <w:b/>
                <w:bCs/>
                <w:sz w:val="20"/>
                <w:szCs w:val="20"/>
              </w:rPr>
              <w:t xml:space="preserve"> </w:t>
            </w:r>
            <w:r>
              <w:rPr>
                <w:rFonts w:ascii="Times New Roman" w:hAnsi="Times New Roman" w:cs="Times New Roman"/>
                <w:sz w:val="20"/>
                <w:szCs w:val="20"/>
              </w:rPr>
              <w:t>Switch between Alt 4 and Alt 5 where gNB can configure via RRC signaling which alternative to use</w:t>
            </w:r>
          </w:p>
          <w:p>
            <w:pPr>
              <w:snapToGrid w:val="0"/>
              <w:spacing w:after="0" w:line="240" w:lineRule="exact"/>
              <w:jc w:val="both"/>
              <w:rPr>
                <w:rFonts w:ascii="Times New Roman" w:hAnsi="Times New Roman"/>
                <w:sz w:val="20"/>
                <w:szCs w:val="20"/>
              </w:rPr>
            </w:pPr>
            <w:r>
              <w:rPr>
                <w:rStyle w:val="31"/>
                <w:rFonts w:ascii="Times New Roman" w:hAnsi="Times New Roman"/>
                <w:b w:val="0"/>
                <w:sz w:val="20"/>
                <w:szCs w:val="20"/>
              </w:rPr>
              <w:t>Note that if none of above Alternatives is agreed in Rel-17, RI restriction is only applied for Single-TRP measurement hypotheses and no RI restriction is applied for Multi-TRP measurement hypotheses</w:t>
            </w:r>
            <w:r>
              <w:rPr>
                <w:rFonts w:ascii="Times New Roman" w:hAnsi="Times New Roman"/>
                <w:sz w:val="20"/>
                <w:szCs w:val="20"/>
              </w:rPr>
              <w:t>.</w:t>
            </w:r>
          </w:p>
        </w:tc>
      </w:tr>
    </w:tbl>
    <w:p>
      <w:pPr>
        <w:widowControl w:val="0"/>
        <w:snapToGrid w:val="0"/>
        <w:spacing w:before="180" w:beforeLines="50" w:after="180" w:afterLines="50" w:line="240" w:lineRule="exact"/>
        <w:jc w:val="both"/>
        <w:rPr>
          <w:rFonts w:ascii="Times New Roman" w:hAnsi="Times New Roman" w:eastAsia="宋体"/>
          <w:kern w:val="2"/>
          <w:sz w:val="20"/>
          <w:szCs w:val="20"/>
        </w:rPr>
      </w:pPr>
      <w:r>
        <w:rPr>
          <w:rFonts w:ascii="Times New Roman" w:hAnsi="Times New Roman" w:eastAsia="宋体"/>
          <w:kern w:val="2"/>
          <w:sz w:val="20"/>
          <w:szCs w:val="20"/>
        </w:rPr>
        <w:t>In</w:t>
      </w:r>
      <w:r>
        <w:rPr>
          <w:rFonts w:hint="eastAsia" w:ascii="Times New Roman" w:hAnsi="Times New Roman" w:eastAsia="宋体"/>
          <w:kern w:val="2"/>
          <w:sz w:val="20"/>
          <w:szCs w:val="20"/>
        </w:rPr>
        <w:t xml:space="preserve"> RAN1#106e meeting, for CSI measurement associated to a NCJT measurement hypothesis in Rel-17, up to 4</w:t>
      </w:r>
      <w:r>
        <w:rPr>
          <w:rFonts w:ascii="Times New Roman" w:hAnsi="Times New Roman" w:eastAsia="宋体"/>
          <w:kern w:val="2"/>
          <w:sz w:val="20"/>
          <w:szCs w:val="20"/>
        </w:rPr>
        <w:t xml:space="preserve"> transmission</w:t>
      </w:r>
      <w:r>
        <w:rPr>
          <w:rFonts w:hint="eastAsia" w:ascii="Times New Roman" w:hAnsi="Times New Roman" w:eastAsia="宋体"/>
          <w:kern w:val="2"/>
          <w:sz w:val="20"/>
          <w:szCs w:val="20"/>
        </w:rPr>
        <w:t xml:space="preserve"> layers have been agreed. The combinations of the reported RIs for NCJT are restricted to the following sets {1,1}, {1,2}, {2,1}, {2,2}, where {</w:t>
      </w:r>
      <w:r>
        <w:rPr>
          <w:rFonts w:hint="eastAsia" w:ascii="Times New Roman" w:hAnsi="Times New Roman" w:eastAsia="宋体"/>
          <w:i/>
          <w:iCs/>
          <w:kern w:val="2"/>
          <w:sz w:val="20"/>
          <w:szCs w:val="20"/>
        </w:rPr>
        <w:t>x,y</w:t>
      </w:r>
      <w:r>
        <w:rPr>
          <w:rFonts w:hint="eastAsia" w:ascii="Times New Roman" w:hAnsi="Times New Roman" w:eastAsia="宋体"/>
          <w:kern w:val="2"/>
          <w:sz w:val="20"/>
          <w:szCs w:val="20"/>
        </w:rPr>
        <w:t xml:space="preserve">} indicates RI value of </w:t>
      </w:r>
      <w:r>
        <w:rPr>
          <w:rFonts w:hint="eastAsia" w:ascii="Times New Roman" w:hAnsi="Times New Roman" w:eastAsia="宋体"/>
          <w:i/>
          <w:iCs/>
          <w:kern w:val="2"/>
          <w:sz w:val="20"/>
          <w:szCs w:val="20"/>
        </w:rPr>
        <w:t>x</w:t>
      </w:r>
      <w:r>
        <w:rPr>
          <w:rFonts w:hint="eastAsia" w:ascii="Times New Roman" w:hAnsi="Times New Roman" w:eastAsia="宋体"/>
          <w:kern w:val="2"/>
          <w:sz w:val="20"/>
          <w:szCs w:val="20"/>
        </w:rPr>
        <w:t xml:space="preserve"> corresponding to the CSI-RS resource from the first TRP and RI value of </w:t>
      </w:r>
      <w:r>
        <w:rPr>
          <w:rFonts w:hint="eastAsia" w:ascii="Times New Roman" w:hAnsi="Times New Roman" w:eastAsia="宋体"/>
          <w:i/>
          <w:iCs/>
          <w:kern w:val="2"/>
          <w:sz w:val="20"/>
          <w:szCs w:val="20"/>
        </w:rPr>
        <w:t>y</w:t>
      </w:r>
      <w:r>
        <w:rPr>
          <w:rFonts w:hint="eastAsia" w:ascii="Times New Roman" w:hAnsi="Times New Roman" w:eastAsia="宋体"/>
          <w:kern w:val="2"/>
          <w:sz w:val="20"/>
          <w:szCs w:val="20"/>
        </w:rPr>
        <w:t xml:space="preserve"> corresponding to the CSI-RS resource from the second TRP. So, the value of total rank for NCJT measurement hypothesis is 2, 3 or 4.</w:t>
      </w:r>
    </w:p>
    <w:p>
      <w:pPr>
        <w:widowControl w:val="0"/>
        <w:snapToGrid w:val="0"/>
        <w:spacing w:before="180" w:beforeLines="50" w:after="180" w:afterLines="50" w:line="240" w:lineRule="exact"/>
        <w:jc w:val="both"/>
        <w:rPr>
          <w:rStyle w:val="31"/>
          <w:rFonts w:ascii="Times New Roman" w:hAnsi="Times New Roman"/>
          <w:b w:val="0"/>
          <w:sz w:val="20"/>
          <w:szCs w:val="20"/>
        </w:rPr>
      </w:pPr>
      <w:r>
        <w:rPr>
          <w:rFonts w:hint="eastAsia" w:ascii="Times New Roman" w:hAnsi="Times New Roman" w:eastAsia="宋体"/>
          <w:kern w:val="2"/>
          <w:sz w:val="20"/>
          <w:szCs w:val="20"/>
        </w:rPr>
        <w:t>In Alt 1, one RI restriction is configured per CodebookConfig, whereas the RI restriction is applied to both Single-TRP and NCJT measurement hypotheses. In this case, X = 1 can</w:t>
      </w:r>
      <w:r>
        <w:rPr>
          <w:rFonts w:ascii="Times New Roman" w:hAnsi="Times New Roman" w:eastAsia="宋体"/>
          <w:kern w:val="2"/>
          <w:sz w:val="20"/>
          <w:szCs w:val="20"/>
        </w:rPr>
        <w:t>’</w:t>
      </w:r>
      <w:r>
        <w:rPr>
          <w:rFonts w:hint="eastAsia" w:ascii="Times New Roman" w:hAnsi="Times New Roman" w:eastAsia="宋体"/>
          <w:kern w:val="2"/>
          <w:sz w:val="20"/>
          <w:szCs w:val="20"/>
        </w:rPr>
        <w:t>t match NCJT measurement hypothesis. In Alt 2 and Alt4, t</w:t>
      </w:r>
      <w:r>
        <w:rPr>
          <w:rStyle w:val="31"/>
          <w:rFonts w:ascii="Times New Roman" w:hAnsi="Times New Roman"/>
          <w:b w:val="0"/>
          <w:sz w:val="20"/>
          <w:szCs w:val="20"/>
        </w:rPr>
        <w:t>wo RI restrictions can be configured per CodebookConfig</w:t>
      </w:r>
      <w:r>
        <w:rPr>
          <w:rStyle w:val="31"/>
          <w:rFonts w:hint="eastAsia" w:ascii="Times New Roman" w:hAnsi="Times New Roman"/>
          <w:b w:val="0"/>
          <w:sz w:val="20"/>
          <w:szCs w:val="20"/>
        </w:rPr>
        <w:t xml:space="preserve">. In this case, </w:t>
      </w:r>
      <w:r>
        <w:rPr>
          <w:rFonts w:hint="eastAsia" w:ascii="Times New Roman" w:hAnsi="Times New Roman" w:eastAsia="宋体"/>
          <w:kern w:val="2"/>
          <w:sz w:val="20"/>
          <w:szCs w:val="20"/>
        </w:rPr>
        <w:t>i</w:t>
      </w:r>
      <w:r>
        <w:rPr>
          <w:rStyle w:val="31"/>
          <w:rFonts w:ascii="Times New Roman" w:hAnsi="Times New Roman"/>
          <w:b w:val="0"/>
          <w:sz w:val="20"/>
          <w:szCs w:val="20"/>
        </w:rPr>
        <w:t xml:space="preserve">f rank restriction of </w:t>
      </w:r>
      <w:r>
        <w:rPr>
          <w:rStyle w:val="31"/>
          <w:rFonts w:hint="eastAsia" w:ascii="Times New Roman" w:hAnsi="Times New Roman"/>
          <w:b w:val="0"/>
          <w:sz w:val="20"/>
          <w:szCs w:val="20"/>
        </w:rPr>
        <w:t xml:space="preserve">Y for NCJT </w:t>
      </w:r>
      <w:r>
        <w:rPr>
          <w:rFonts w:hint="eastAsia" w:ascii="Times New Roman" w:hAnsi="Times New Roman" w:eastAsia="宋体"/>
          <w:kern w:val="2"/>
          <w:sz w:val="20"/>
          <w:szCs w:val="20"/>
        </w:rPr>
        <w:t>measurement hypothesis</w:t>
      </w:r>
      <w:r>
        <w:rPr>
          <w:rStyle w:val="31"/>
          <w:rFonts w:ascii="Times New Roman" w:hAnsi="Times New Roman"/>
          <w:b w:val="0"/>
          <w:sz w:val="20"/>
          <w:szCs w:val="20"/>
        </w:rPr>
        <w:t xml:space="preserve"> is configured</w:t>
      </w:r>
      <w:r>
        <w:rPr>
          <w:rStyle w:val="31"/>
          <w:rFonts w:hint="eastAsia" w:ascii="Times New Roman" w:hAnsi="Times New Roman"/>
          <w:b w:val="0"/>
          <w:sz w:val="20"/>
          <w:szCs w:val="20"/>
        </w:rPr>
        <w:t xml:space="preserve">, the complexity of UE can be decreased, but the optimal </w:t>
      </w:r>
      <w:r>
        <w:rPr>
          <w:rStyle w:val="31"/>
          <w:rFonts w:ascii="Times New Roman" w:hAnsi="Times New Roman"/>
          <w:b w:val="0"/>
          <w:sz w:val="20"/>
          <w:szCs w:val="20"/>
        </w:rPr>
        <w:t>precoding matrix</w:t>
      </w:r>
      <w:r>
        <w:rPr>
          <w:rStyle w:val="31"/>
          <w:rFonts w:hint="eastAsia" w:ascii="Times New Roman" w:hAnsi="Times New Roman"/>
          <w:b w:val="0"/>
          <w:sz w:val="20"/>
          <w:szCs w:val="20"/>
        </w:rPr>
        <w:t xml:space="preserve"> may be ignored. </w:t>
      </w:r>
      <w:r>
        <w:rPr>
          <w:rFonts w:hint="eastAsia" w:ascii="Times New Roman" w:hAnsi="Times New Roman" w:eastAsia="宋体"/>
          <w:kern w:val="2"/>
          <w:sz w:val="20"/>
          <w:szCs w:val="20"/>
        </w:rPr>
        <w:t xml:space="preserve">In Alt 3, Alt5 and Alt6, three or more RI restrictions can be configured per CodebookConfig, which would introduce excessive overhead and increase </w:t>
      </w:r>
      <w:r>
        <w:rPr>
          <w:rStyle w:val="31"/>
          <w:rFonts w:hint="eastAsia" w:ascii="Times New Roman" w:hAnsi="Times New Roman"/>
          <w:b w:val="0"/>
          <w:sz w:val="20"/>
          <w:szCs w:val="20"/>
        </w:rPr>
        <w:t>complexity significantly. What</w:t>
      </w:r>
      <w:r>
        <w:rPr>
          <w:rStyle w:val="31"/>
          <w:rFonts w:ascii="Times New Roman" w:hAnsi="Times New Roman"/>
          <w:b w:val="0"/>
          <w:sz w:val="20"/>
          <w:szCs w:val="20"/>
        </w:rPr>
        <w:t>’</w:t>
      </w:r>
      <w:r>
        <w:rPr>
          <w:rStyle w:val="31"/>
          <w:rFonts w:hint="eastAsia" w:ascii="Times New Roman" w:hAnsi="Times New Roman"/>
          <w:b w:val="0"/>
          <w:sz w:val="20"/>
          <w:szCs w:val="20"/>
        </w:rPr>
        <w:t xml:space="preserve">s more, the motivation </w:t>
      </w:r>
      <w:r>
        <w:rPr>
          <w:rStyle w:val="31"/>
          <w:rFonts w:ascii="Times New Roman" w:hAnsi="Times New Roman"/>
          <w:b w:val="0"/>
          <w:sz w:val="20"/>
          <w:szCs w:val="20"/>
        </w:rPr>
        <w:t>or</w:t>
      </w:r>
      <w:r>
        <w:rPr>
          <w:rStyle w:val="31"/>
          <w:rFonts w:hint="eastAsia" w:ascii="Times New Roman" w:hAnsi="Times New Roman"/>
          <w:b w:val="0"/>
          <w:sz w:val="20"/>
          <w:szCs w:val="20"/>
        </w:rPr>
        <w:t xml:space="preserve"> benefit of RI restriction for NCJT is unclear. Therefore, new RI restriction for NCJT is unnecessary</w:t>
      </w:r>
      <w:r>
        <w:rPr>
          <w:rStyle w:val="31"/>
          <w:rFonts w:ascii="Times New Roman" w:hAnsi="Times New Roman"/>
          <w:b w:val="0"/>
          <w:sz w:val="20"/>
          <w:szCs w:val="20"/>
        </w:rPr>
        <w:t>.</w:t>
      </w:r>
    </w:p>
    <w:p>
      <w:pPr>
        <w:snapToGrid w:val="0"/>
        <w:spacing w:before="180" w:beforeLines="50" w:after="180" w:afterLines="50" w:line="240" w:lineRule="exact"/>
        <w:rPr>
          <w:rStyle w:val="31"/>
          <w:rFonts w:ascii="Times New Roman" w:hAnsi="Times New Roman"/>
          <w:b w:val="0"/>
          <w:i/>
          <w:iCs/>
          <w:sz w:val="20"/>
          <w:szCs w:val="20"/>
        </w:rPr>
      </w:pPr>
      <w:r>
        <w:rPr>
          <w:rStyle w:val="31"/>
          <w:rFonts w:hint="eastAsia" w:ascii="Times New Roman" w:hAnsi="Times New Roman"/>
          <w:bCs/>
          <w:i/>
          <w:iCs/>
          <w:sz w:val="20"/>
          <w:szCs w:val="20"/>
        </w:rPr>
        <w:t>Proposal 4:</w:t>
      </w:r>
      <w:r>
        <w:rPr>
          <w:rStyle w:val="31"/>
          <w:rFonts w:hint="eastAsia" w:ascii="Times New Roman" w:hAnsi="Times New Roman"/>
          <w:b w:val="0"/>
          <w:i/>
          <w:iCs/>
          <w:sz w:val="20"/>
          <w:szCs w:val="20"/>
        </w:rPr>
        <w:t xml:space="preserve"> The existing </w:t>
      </w:r>
      <w:r>
        <w:rPr>
          <w:rStyle w:val="31"/>
          <w:rFonts w:ascii="Times New Roman" w:hAnsi="Times New Roman"/>
          <w:b w:val="0"/>
          <w:i/>
          <w:iCs/>
          <w:sz w:val="20"/>
          <w:szCs w:val="20"/>
        </w:rPr>
        <w:t xml:space="preserve">RI restriction is only applied for Single-TRP measurement hypotheses and no RI restriction is applied for </w:t>
      </w:r>
      <w:r>
        <w:rPr>
          <w:rStyle w:val="31"/>
          <w:rFonts w:hint="eastAsia" w:ascii="Times New Roman" w:hAnsi="Times New Roman"/>
          <w:b w:val="0"/>
          <w:i/>
          <w:iCs/>
          <w:sz w:val="20"/>
          <w:szCs w:val="20"/>
        </w:rPr>
        <w:t>NCJT</w:t>
      </w:r>
      <w:r>
        <w:rPr>
          <w:rStyle w:val="31"/>
          <w:rFonts w:ascii="Times New Roman" w:hAnsi="Times New Roman"/>
          <w:b w:val="0"/>
          <w:i/>
          <w:iCs/>
          <w:sz w:val="20"/>
          <w:szCs w:val="20"/>
        </w:rPr>
        <w:t xml:space="preserve"> measurement hypotheses</w:t>
      </w:r>
      <w:r>
        <w:rPr>
          <w:rStyle w:val="31"/>
          <w:rFonts w:hint="eastAsia" w:ascii="Times New Roman" w:hAnsi="Times New Roman"/>
          <w:b w:val="0"/>
          <w:i/>
          <w:iCs/>
          <w:sz w:val="20"/>
          <w:szCs w:val="20"/>
        </w:rPr>
        <w:t xml:space="preserve"> in Rel-17.</w:t>
      </w:r>
    </w:p>
    <w:p>
      <w:pPr>
        <w:keepNext/>
        <w:keepLines/>
        <w:snapToGrid w:val="0"/>
        <w:spacing w:before="260" w:after="180" w:afterLines="50" w:line="240" w:lineRule="auto"/>
        <w:outlineLvl w:val="1"/>
        <w:rPr>
          <w:rFonts w:ascii="Arial" w:hAnsi="Arial"/>
          <w:sz w:val="24"/>
          <w:szCs w:val="24"/>
        </w:rPr>
      </w:pPr>
      <w:r>
        <w:rPr>
          <w:rFonts w:ascii="Arial" w:hAnsi="Arial"/>
          <w:sz w:val="24"/>
          <w:szCs w:val="24"/>
        </w:rPr>
        <w:t>2.</w:t>
      </w:r>
      <w:r>
        <w:rPr>
          <w:rFonts w:hint="eastAsia" w:ascii="Arial" w:hAnsi="Arial"/>
          <w:sz w:val="24"/>
          <w:szCs w:val="24"/>
        </w:rPr>
        <w:t>5</w:t>
      </w:r>
      <w:r>
        <w:rPr>
          <w:rFonts w:ascii="Arial" w:hAnsi="Arial"/>
          <w:sz w:val="24"/>
          <w:szCs w:val="24"/>
        </w:rPr>
        <w:t xml:space="preserve"> </w:t>
      </w:r>
      <w:r>
        <w:rPr>
          <w:rFonts w:hint="eastAsia" w:ascii="Arial" w:hAnsi="Arial"/>
          <w:sz w:val="24"/>
          <w:szCs w:val="24"/>
        </w:rPr>
        <w:t>Mapping order and priority of CSI</w:t>
      </w:r>
      <w:r>
        <w:rPr>
          <w:rFonts w:ascii="Arial" w:hAnsi="Arial"/>
          <w:sz w:val="24"/>
          <w:szCs w:val="24"/>
        </w:rPr>
        <w:t xml:space="preserve"> parameters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exact"/>
              <w:jc w:val="both"/>
              <w:rPr>
                <w:rFonts w:ascii="Times New Roman" w:hAnsi="Times New Roman" w:eastAsia="宋体"/>
                <w:b/>
                <w:bCs/>
                <w:sz w:val="20"/>
                <w:szCs w:val="20"/>
              </w:rPr>
            </w:pPr>
            <w:r>
              <w:rPr>
                <w:rFonts w:ascii="Times New Roman" w:hAnsi="Times New Roman" w:eastAsia="Batang"/>
                <w:b/>
                <w:bCs/>
                <w:sz w:val="20"/>
                <w:szCs w:val="20"/>
                <w:lang w:val="en-GB" w:eastAsia="en-US"/>
              </w:rPr>
              <w:t>Agreement</w:t>
            </w:r>
            <w:r>
              <w:rPr>
                <w:rFonts w:hint="eastAsia" w:ascii="Times New Roman" w:hAnsi="Times New Roman" w:eastAsia="宋体"/>
                <w:b/>
                <w:bCs/>
                <w:sz w:val="20"/>
                <w:szCs w:val="20"/>
              </w:rPr>
              <w:t>#5</w:t>
            </w:r>
          </w:p>
          <w:p>
            <w:pPr>
              <w:snapToGrid w:val="0"/>
              <w:spacing w:after="0" w:line="240" w:lineRule="exact"/>
              <w:jc w:val="both"/>
              <w:rPr>
                <w:rFonts w:ascii="Times New Roman" w:hAnsi="Times New Roman" w:eastAsia="Batang"/>
                <w:color w:val="000000"/>
                <w:sz w:val="20"/>
                <w:szCs w:val="20"/>
                <w:lang w:val="en-GB" w:eastAsia="en-US"/>
              </w:rPr>
            </w:pPr>
            <w:r>
              <w:rPr>
                <w:rFonts w:ascii="Times New Roman" w:hAnsi="Times New Roman" w:eastAsia="Malgun Gothic"/>
                <w:bCs/>
                <w:color w:val="000000"/>
                <w:sz w:val="20"/>
                <w:szCs w:val="20"/>
                <w:lang w:val="en-GB" w:eastAsia="en-US"/>
              </w:rPr>
              <w:t>To confirm the order of UCI payload construction for reported CSIs, study following Alternatives and down-select one or more Alternative(s) for required specification changes in RAN1 106bis:</w:t>
            </w:r>
          </w:p>
          <w:p>
            <w:pPr>
              <w:widowControl w:val="0"/>
              <w:numPr>
                <w:ilvl w:val="0"/>
                <w:numId w:val="9"/>
              </w:numPr>
              <w:snapToGrid w:val="0"/>
              <w:spacing w:after="0" w:line="240" w:lineRule="exact"/>
              <w:contextualSpacing/>
              <w:jc w:val="both"/>
              <w:rPr>
                <w:rFonts w:ascii="Times New Roman" w:hAnsi="Times New Roman" w:eastAsia="Batang"/>
                <w:color w:val="000000"/>
                <w:sz w:val="20"/>
                <w:szCs w:val="20"/>
                <w:lang w:val="en-GB" w:eastAsia="en-US"/>
              </w:rPr>
            </w:pPr>
            <w:r>
              <w:rPr>
                <w:rFonts w:ascii="Times New Roman" w:hAnsi="Times New Roman" w:eastAsia="Malgun Gothic"/>
                <w:bCs/>
                <w:color w:val="000000"/>
                <w:sz w:val="20"/>
                <w:szCs w:val="20"/>
                <w:lang w:val="en-GB" w:eastAsia="en-US"/>
              </w:rPr>
              <w:t>Alt 1: modify priority equation, i.e., Section 5.2.5 in 38.214.</w:t>
            </w:r>
          </w:p>
          <w:p>
            <w:pPr>
              <w:widowControl w:val="0"/>
              <w:numPr>
                <w:ilvl w:val="0"/>
                <w:numId w:val="9"/>
              </w:numPr>
              <w:snapToGrid w:val="0"/>
              <w:spacing w:after="0" w:line="240" w:lineRule="exact"/>
              <w:contextualSpacing/>
              <w:jc w:val="both"/>
              <w:rPr>
                <w:rFonts w:ascii="Times New Roman" w:hAnsi="Times New Roman" w:eastAsia="Batang"/>
                <w:color w:val="000000"/>
                <w:sz w:val="20"/>
                <w:szCs w:val="20"/>
                <w:lang w:val="en-GB" w:eastAsia="en-US"/>
              </w:rPr>
            </w:pPr>
            <w:r>
              <w:rPr>
                <w:rFonts w:ascii="Times New Roman" w:hAnsi="Times New Roman" w:eastAsia="Malgun Gothic"/>
                <w:bCs/>
                <w:color w:val="000000"/>
                <w:sz w:val="20"/>
                <w:szCs w:val="20"/>
                <w:lang w:val="en-GB" w:eastAsia="en-US"/>
              </w:rPr>
              <w:t>Alt 2: modify the table of priority reporting levels for Part 2 CSI, i.e., Table 5.2.3-1 in 38.214.</w:t>
            </w:r>
          </w:p>
          <w:p>
            <w:pPr>
              <w:widowControl w:val="0"/>
              <w:numPr>
                <w:ilvl w:val="0"/>
                <w:numId w:val="9"/>
              </w:numPr>
              <w:snapToGrid w:val="0"/>
              <w:spacing w:after="0" w:line="240" w:lineRule="exact"/>
              <w:contextualSpacing/>
              <w:jc w:val="both"/>
              <w:rPr>
                <w:rFonts w:ascii="Times New Roman" w:hAnsi="Times New Roman"/>
                <w:kern w:val="2"/>
                <w:sz w:val="20"/>
                <w:szCs w:val="20"/>
                <w:lang w:val="en-GB" w:eastAsia="en-US"/>
              </w:rPr>
            </w:pPr>
            <w:r>
              <w:rPr>
                <w:rFonts w:ascii="Times New Roman" w:hAnsi="Times New Roman" w:eastAsia="Malgun Gothic"/>
                <w:bCs/>
                <w:color w:val="000000"/>
                <w:sz w:val="20"/>
                <w:szCs w:val="20"/>
                <w:lang w:val="en-GB" w:eastAsia="en-US"/>
              </w:rPr>
              <w:t>Alt 4: modify mapping order of CSI fields of one CSI report, i.e., Table 6.3.2.1.2-3/4/5 in 38.212</w:t>
            </w:r>
          </w:p>
        </w:tc>
      </w:tr>
    </w:tbl>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Rel-15 and Rel-16, each Reporting Setting </w:t>
      </w:r>
      <w:r>
        <w:rPr>
          <w:rFonts w:ascii="Times New Roman" w:hAnsi="Times New Roman"/>
          <w:i/>
          <w:iCs/>
          <w:sz w:val="20"/>
          <w:szCs w:val="20"/>
        </w:rPr>
        <w:t>CSI-ReportConfig</w:t>
      </w:r>
      <w:r>
        <w:rPr>
          <w:rFonts w:ascii="Times New Roman" w:hAnsi="Times New Roman"/>
          <w:sz w:val="20"/>
          <w:szCs w:val="20"/>
        </w:rPr>
        <w:t xml:space="preserve"> is associated with one CSI report </w:t>
      </w:r>
      <w:r>
        <w:rPr>
          <w:rFonts w:hint="eastAsia" w:ascii="Times New Roman" w:hAnsi="Times New Roman"/>
          <w:sz w:val="20"/>
          <w:szCs w:val="20"/>
        </w:rPr>
        <w:t xml:space="preserve">and configured with one </w:t>
      </w:r>
      <w:r>
        <w:rPr>
          <w:rFonts w:hint="eastAsia" w:ascii="Times New Roman" w:hAnsi="Times New Roman"/>
          <w:i/>
          <w:iCs/>
          <w:sz w:val="20"/>
          <w:szCs w:val="20"/>
        </w:rPr>
        <w:t>CSI-ReportCongfigId</w:t>
      </w:r>
      <w:r>
        <w:rPr>
          <w:rFonts w:hint="eastAsia" w:ascii="Times New Roman" w:hAnsi="Times New Roman"/>
          <w:sz w:val="20"/>
          <w:szCs w:val="20"/>
        </w:rPr>
        <w:t xml:space="preserve">. </w:t>
      </w:r>
      <w:r>
        <w:rPr>
          <w:rFonts w:ascii="Times New Roman" w:hAnsi="Times New Roman"/>
          <w:sz w:val="20"/>
          <w:szCs w:val="20"/>
        </w:rPr>
        <w:t>In Rel-17, CSI report Option 1 with X=0,</w:t>
      </w:r>
      <w:r>
        <w:rPr>
          <w:rFonts w:hint="eastAsia" w:ascii="Times New Roman" w:hAnsi="Times New Roman"/>
          <w:sz w:val="20"/>
          <w:szCs w:val="20"/>
        </w:rPr>
        <w:t xml:space="preserve"> </w:t>
      </w:r>
      <w:r>
        <w:rPr>
          <w:rFonts w:ascii="Times New Roman" w:hAnsi="Times New Roman"/>
          <w:sz w:val="20"/>
          <w:szCs w:val="20"/>
        </w:rPr>
        <w:t xml:space="preserve">1, 2 </w:t>
      </w:r>
      <w:r>
        <w:rPr>
          <w:rFonts w:hint="eastAsia" w:ascii="Times New Roman" w:hAnsi="Times New Roman"/>
          <w:sz w:val="20"/>
          <w:szCs w:val="20"/>
        </w:rPr>
        <w:t>Single-TRP</w:t>
      </w:r>
      <w:r>
        <w:rPr>
          <w:rFonts w:ascii="Times New Roman" w:hAnsi="Times New Roman"/>
          <w:sz w:val="20"/>
          <w:szCs w:val="20"/>
        </w:rPr>
        <w:t xml:space="preserve"> CSI hypothesises and 1 NCJT CSI hypothesis can configured under single CSI Reporting Setting. </w:t>
      </w:r>
      <w:r>
        <w:rPr>
          <w:rFonts w:hint="eastAsia" w:ascii="Times New Roman" w:hAnsi="Times New Roman"/>
          <w:sz w:val="20"/>
          <w:szCs w:val="20"/>
        </w:rPr>
        <w:t xml:space="preserve">Therefore, </w:t>
      </w:r>
      <w:r>
        <w:rPr>
          <w:rFonts w:ascii="Times New Roman" w:hAnsi="Times New Roman" w:eastAsia="Times New Roman"/>
          <w:bCs/>
          <w:color w:val="000000"/>
          <w:kern w:val="2"/>
          <w:sz w:val="20"/>
          <w:szCs w:val="20"/>
        </w:rPr>
        <w:t xml:space="preserve">the X+1 CSI hypotheses per CSI Reporting Setting </w:t>
      </w:r>
      <w:r>
        <w:rPr>
          <w:rFonts w:hint="eastAsia" w:ascii="Times New Roman" w:hAnsi="Times New Roman" w:eastAsia="Times New Roman"/>
          <w:bCs/>
          <w:color w:val="000000"/>
          <w:kern w:val="2"/>
          <w:sz w:val="20"/>
          <w:szCs w:val="20"/>
        </w:rPr>
        <w:t>should be</w:t>
      </w:r>
      <w:r>
        <w:rPr>
          <w:rFonts w:ascii="Times New Roman" w:hAnsi="Times New Roman" w:eastAsia="Times New Roman"/>
          <w:bCs/>
          <w:color w:val="000000"/>
          <w:kern w:val="2"/>
          <w:sz w:val="20"/>
          <w:szCs w:val="20"/>
        </w:rPr>
        <w:t xml:space="preserve"> mapped to a single CSI report</w:t>
      </w:r>
      <w:r>
        <w:rPr>
          <w:rFonts w:hint="eastAsia" w:ascii="Times New Roman" w:hAnsi="Times New Roman" w:eastAsia="宋体"/>
          <w:bCs/>
          <w:color w:val="000000"/>
          <w:kern w:val="2"/>
          <w:sz w:val="20"/>
          <w:szCs w:val="20"/>
        </w:rPr>
        <w:t xml:space="preserve"> from RRC structure perspective</w:t>
      </w:r>
      <w:r>
        <w:rPr>
          <w:rFonts w:ascii="Times New Roman" w:hAnsi="Times New Roman" w:eastAsia="Times New Roman"/>
          <w:bCs/>
          <w:color w:val="000000"/>
          <w:kern w:val="2"/>
          <w:sz w:val="20"/>
          <w:szCs w:val="20"/>
        </w:rPr>
        <w:t xml:space="preserve">. </w:t>
      </w:r>
    </w:p>
    <w:p>
      <w:pPr>
        <w:adjustRightInd w:val="0"/>
        <w:snapToGrid w:val="0"/>
        <w:spacing w:before="180" w:beforeLines="50" w:after="180" w:afterLines="50" w:line="240" w:lineRule="auto"/>
        <w:jc w:val="both"/>
        <w:rPr>
          <w:rFonts w:ascii="Times New Roman" w:hAnsi="Times New Roman" w:eastAsia="Times New Roman"/>
          <w:bCs/>
          <w:i/>
          <w:iCs/>
          <w:color w:val="000000"/>
          <w:kern w:val="2"/>
          <w:sz w:val="20"/>
          <w:szCs w:val="20"/>
        </w:rPr>
      </w:pPr>
      <w:r>
        <w:rPr>
          <w:rFonts w:hint="eastAsia" w:ascii="Times New Roman" w:hAnsi="Times New Roman" w:eastAsia="Times New Roman"/>
          <w:b/>
          <w:i/>
          <w:iCs/>
          <w:color w:val="000000"/>
          <w:kern w:val="2"/>
          <w:sz w:val="20"/>
          <w:szCs w:val="20"/>
        </w:rPr>
        <w:t xml:space="preserve">Proposal </w:t>
      </w:r>
      <w:r>
        <w:rPr>
          <w:rFonts w:hint="eastAsia" w:ascii="Times New Roman" w:hAnsi="Times New Roman" w:eastAsia="宋体"/>
          <w:b/>
          <w:i/>
          <w:iCs/>
          <w:color w:val="000000"/>
          <w:kern w:val="2"/>
          <w:sz w:val="20"/>
          <w:szCs w:val="20"/>
        </w:rPr>
        <w:t>5</w:t>
      </w:r>
      <w:r>
        <w:rPr>
          <w:rFonts w:hint="eastAsia" w:ascii="Times New Roman" w:hAnsi="Times New Roman" w:eastAsia="Times New Roman"/>
          <w:b/>
          <w:i/>
          <w:iCs/>
          <w:color w:val="000000"/>
          <w:kern w:val="2"/>
          <w:sz w:val="20"/>
          <w:szCs w:val="20"/>
        </w:rPr>
        <w:t xml:space="preserve">: </w:t>
      </w:r>
      <w:r>
        <w:rPr>
          <w:rFonts w:ascii="Times New Roman" w:hAnsi="Times New Roman" w:eastAsia="Times New Roman"/>
          <w:bCs/>
          <w:i/>
          <w:iCs/>
          <w:color w:val="000000"/>
          <w:kern w:val="2"/>
          <w:sz w:val="20"/>
          <w:szCs w:val="20"/>
        </w:rPr>
        <w:t xml:space="preserve">The X+1 CSI hypotheses per CSI Reporting Setting for NCJT and STRP </w:t>
      </w:r>
      <w:r>
        <w:rPr>
          <w:rFonts w:hint="eastAsia" w:ascii="Times New Roman" w:hAnsi="Times New Roman" w:eastAsia="Times New Roman"/>
          <w:bCs/>
          <w:i/>
          <w:iCs/>
          <w:color w:val="000000"/>
          <w:kern w:val="2"/>
          <w:sz w:val="20"/>
          <w:szCs w:val="20"/>
        </w:rPr>
        <w:t>are</w:t>
      </w:r>
      <w:r>
        <w:rPr>
          <w:rFonts w:ascii="Times New Roman" w:hAnsi="Times New Roman" w:eastAsia="Times New Roman"/>
          <w:bCs/>
          <w:i/>
          <w:iCs/>
          <w:color w:val="000000"/>
          <w:kern w:val="2"/>
          <w:sz w:val="20"/>
          <w:szCs w:val="20"/>
        </w:rPr>
        <w:t xml:space="preserve"> mapped to a single CSI report</w:t>
      </w:r>
      <w:r>
        <w:rPr>
          <w:rFonts w:hint="eastAsia" w:ascii="Times New Roman" w:hAnsi="Times New Roman" w:eastAsia="Times New Roman"/>
          <w:bCs/>
          <w:i/>
          <w:iCs/>
          <w:color w:val="000000"/>
          <w:kern w:val="2"/>
          <w:sz w:val="20"/>
          <w:szCs w:val="20"/>
        </w:rPr>
        <w:t>.</w:t>
      </w:r>
    </w:p>
    <w:p>
      <w:pPr>
        <w:adjustRightInd w:val="0"/>
        <w:snapToGrid w:val="0"/>
        <w:spacing w:before="180" w:beforeLines="50" w:after="180" w:afterLines="50" w:line="240" w:lineRule="auto"/>
        <w:jc w:val="both"/>
        <w:rPr>
          <w:rFonts w:ascii="Times New Roman" w:hAnsi="Times New Roman" w:eastAsia="宋体"/>
          <w:sz w:val="20"/>
          <w:szCs w:val="20"/>
          <w:lang w:val="en-GB"/>
        </w:rPr>
      </w:pPr>
      <w:r>
        <w:rPr>
          <w:rFonts w:ascii="Times New Roman" w:hAnsi="Times New Roman" w:eastAsia="宋体"/>
          <w:sz w:val="20"/>
          <w:szCs w:val="20"/>
          <w:lang w:val="en-GB"/>
        </w:rPr>
        <w:t xml:space="preserve">In </w:t>
      </w:r>
      <w:r>
        <w:rPr>
          <w:rFonts w:ascii="Times New Roman" w:hAnsi="Times New Roman" w:eastAsia="宋体"/>
          <w:sz w:val="20"/>
          <w:szCs w:val="20"/>
        </w:rPr>
        <w:t>Rel-15/16</w:t>
      </w:r>
      <w:r>
        <w:rPr>
          <w:rFonts w:ascii="Times New Roman" w:hAnsi="Times New Roman" w:eastAsia="宋体"/>
          <w:sz w:val="20"/>
          <w:szCs w:val="20"/>
          <w:lang w:val="en-GB"/>
        </w:rPr>
        <w:t xml:space="preserve">, the CSI content in a single CSI report is divided into </w:t>
      </w:r>
      <w:r>
        <w:rPr>
          <w:rFonts w:ascii="Times New Roman" w:hAnsi="Times New Roman" w:eastAsia="宋体"/>
          <w:sz w:val="20"/>
          <w:szCs w:val="20"/>
        </w:rPr>
        <w:t>p</w:t>
      </w:r>
      <w:r>
        <w:rPr>
          <w:rFonts w:ascii="Times New Roman" w:hAnsi="Times New Roman" w:eastAsia="宋体"/>
          <w:sz w:val="20"/>
          <w:szCs w:val="20"/>
          <w:lang w:val="en-GB"/>
        </w:rPr>
        <w:t xml:space="preserve">art 1 and </w:t>
      </w:r>
      <w:r>
        <w:rPr>
          <w:rFonts w:ascii="Times New Roman" w:hAnsi="Times New Roman" w:eastAsia="宋体"/>
          <w:sz w:val="20"/>
          <w:szCs w:val="20"/>
        </w:rPr>
        <w:t>p</w:t>
      </w:r>
      <w:r>
        <w:rPr>
          <w:rFonts w:ascii="Times New Roman" w:hAnsi="Times New Roman" w:eastAsia="宋体"/>
          <w:sz w:val="20"/>
          <w:szCs w:val="20"/>
          <w:lang w:val="en-GB"/>
        </w:rPr>
        <w:t xml:space="preserve">art 2 CSI when subband format is configured. Part 2 CSI is further divided into </w:t>
      </w:r>
      <w:r>
        <w:rPr>
          <w:rFonts w:ascii="Times New Roman" w:hAnsi="Times New Roman" w:eastAsia="宋体"/>
          <w:sz w:val="20"/>
          <w:szCs w:val="20"/>
        </w:rPr>
        <w:t>p</w:t>
      </w:r>
      <w:r>
        <w:rPr>
          <w:rFonts w:ascii="Times New Roman" w:hAnsi="Times New Roman" w:eastAsia="宋体"/>
          <w:sz w:val="20"/>
          <w:szCs w:val="20"/>
          <w:lang w:val="en-GB"/>
        </w:rPr>
        <w:t xml:space="preserve">art 2 wideband and </w:t>
      </w:r>
      <w:r>
        <w:rPr>
          <w:rFonts w:ascii="Times New Roman" w:hAnsi="Times New Roman" w:eastAsia="宋体"/>
          <w:sz w:val="20"/>
          <w:szCs w:val="20"/>
        </w:rPr>
        <w:t>p</w:t>
      </w:r>
      <w:r>
        <w:rPr>
          <w:rFonts w:ascii="Times New Roman" w:hAnsi="Times New Roman" w:eastAsia="宋体"/>
          <w:sz w:val="20"/>
          <w:szCs w:val="20"/>
          <w:lang w:val="en-GB"/>
        </w:rPr>
        <w:t>art 2 subband CSI. Part 1 CSI includes CRI, RI and CQI of the first transport block</w:t>
      </w:r>
      <w:r>
        <w:rPr>
          <w:rFonts w:ascii="Times New Roman" w:hAnsi="Times New Roman" w:eastAsia="宋体"/>
          <w:sz w:val="20"/>
          <w:szCs w:val="20"/>
        </w:rPr>
        <w:t>. P</w:t>
      </w:r>
      <w:r>
        <w:rPr>
          <w:rFonts w:ascii="Times New Roman" w:hAnsi="Times New Roman" w:eastAsia="宋体"/>
          <w:sz w:val="20"/>
          <w:szCs w:val="20"/>
          <w:lang w:val="en-GB"/>
        </w:rPr>
        <w:t>art 2 CSI includes L</w:t>
      </w:r>
      <w:r>
        <w:rPr>
          <w:rFonts w:ascii="Times New Roman" w:hAnsi="Times New Roman" w:eastAsia="宋体"/>
          <w:sz w:val="20"/>
          <w:szCs w:val="20"/>
        </w:rPr>
        <w:t>I</w:t>
      </w:r>
      <w:r>
        <w:rPr>
          <w:rFonts w:ascii="Times New Roman" w:hAnsi="Times New Roman" w:eastAsia="宋体"/>
          <w:sz w:val="20"/>
          <w:szCs w:val="20"/>
          <w:lang w:val="en-GB"/>
        </w:rPr>
        <w:t xml:space="preserve">, PMI and CQI of the second transport block when rank is </w:t>
      </w:r>
      <w:r>
        <w:rPr>
          <w:rFonts w:ascii="Times New Roman" w:hAnsi="Times New Roman" w:eastAsia="宋体"/>
          <w:sz w:val="20"/>
          <w:szCs w:val="20"/>
        </w:rPr>
        <w:t>more</w:t>
      </w:r>
      <w:r>
        <w:rPr>
          <w:rFonts w:ascii="Times New Roman" w:hAnsi="Times New Roman" w:eastAsia="宋体"/>
          <w:sz w:val="20"/>
          <w:szCs w:val="20"/>
          <w:lang w:val="en-GB"/>
        </w:rPr>
        <w:t xml:space="preserve"> than 4.</w:t>
      </w:r>
    </w:p>
    <w:p>
      <w:pPr>
        <w:adjustRightInd w:val="0"/>
        <w:snapToGrid w:val="0"/>
        <w:spacing w:before="180" w:beforeLines="50" w:after="180" w:afterLines="50" w:line="240" w:lineRule="auto"/>
        <w:jc w:val="both"/>
        <w:rPr>
          <w:rFonts w:ascii="Times New Roman" w:hAnsi="Times New Roman" w:eastAsia="宋体"/>
          <w:bCs/>
          <w:sz w:val="20"/>
          <w:szCs w:val="20"/>
        </w:rPr>
      </w:pPr>
      <w:r>
        <w:rPr>
          <w:rFonts w:hint="eastAsia" w:ascii="Times New Roman" w:hAnsi="Times New Roman" w:eastAsia="宋体"/>
          <w:sz w:val="20"/>
          <w:szCs w:val="20"/>
          <w:lang w:val="en-GB"/>
        </w:rPr>
        <w:t>I</w:t>
      </w:r>
      <w:r>
        <w:rPr>
          <w:rFonts w:ascii="Times New Roman" w:hAnsi="Times New Roman" w:eastAsia="宋体"/>
          <w:sz w:val="20"/>
          <w:szCs w:val="20"/>
          <w:lang w:val="en-GB"/>
        </w:rPr>
        <w:t>n Rel-17, in a single CSI report, UE can be configured with X=0,</w:t>
      </w:r>
      <w:r>
        <w:rPr>
          <w:rFonts w:hint="eastAsia" w:ascii="Times New Roman" w:hAnsi="Times New Roman" w:eastAsia="宋体"/>
          <w:sz w:val="20"/>
          <w:szCs w:val="20"/>
        </w:rPr>
        <w:t xml:space="preserve"> </w:t>
      </w:r>
      <w:r>
        <w:rPr>
          <w:rFonts w:ascii="Times New Roman" w:hAnsi="Times New Roman" w:eastAsia="宋体"/>
          <w:sz w:val="20"/>
          <w:szCs w:val="20"/>
          <w:lang w:val="en-GB"/>
        </w:rPr>
        <w:t>1,</w:t>
      </w:r>
      <w:r>
        <w:rPr>
          <w:rFonts w:hint="eastAsia" w:ascii="Times New Roman" w:hAnsi="Times New Roman" w:eastAsia="宋体"/>
          <w:sz w:val="20"/>
          <w:szCs w:val="20"/>
        </w:rPr>
        <w:t xml:space="preserve"> </w:t>
      </w:r>
      <w:r>
        <w:rPr>
          <w:rFonts w:ascii="Times New Roman" w:hAnsi="Times New Roman" w:eastAsia="宋体"/>
          <w:sz w:val="20"/>
          <w:szCs w:val="20"/>
          <w:lang w:val="en-GB"/>
        </w:rPr>
        <w:t>2 best CSI for STRP and one best CSI for MTRP. In other words, UE needs to report X+1 sets of CSI parameters where each set includes CRI, RI, LI, PMI and CQI. Straightforwardly, the legacy CSI partition rule can be reused in Rel-17. That is, each of X+1 sets of CSI parameters is divided into two parts as Rel-15/16, so</w:t>
      </w:r>
      <w:r>
        <w:rPr>
          <w:rFonts w:hint="eastAsia" w:ascii="Times New Roman" w:hAnsi="Times New Roman" w:eastAsia="宋体"/>
          <w:sz w:val="20"/>
          <w:szCs w:val="20"/>
          <w:lang w:val="en-GB"/>
        </w:rPr>
        <w:t xml:space="preserve"> </w:t>
      </w:r>
      <w:r>
        <w:rPr>
          <w:rFonts w:ascii="Times New Roman" w:hAnsi="Times New Roman" w:eastAsia="宋体"/>
          <w:sz w:val="20"/>
          <w:szCs w:val="20"/>
          <w:lang w:val="en-GB"/>
        </w:rPr>
        <w:t xml:space="preserve">UE needs to report X+1 sets of CSI part 1 and X+1 sets of CSI part 2 in a single CSI report. Based on the above analysis, the mapping order of CSI fields should be specified accordingly. </w:t>
      </w:r>
      <w:r>
        <w:rPr>
          <w:rFonts w:ascii="Times New Roman" w:hAnsi="Times New Roman" w:eastAsia="宋体"/>
          <w:sz w:val="20"/>
          <w:szCs w:val="20"/>
        </w:rPr>
        <w:t xml:space="preserve">For example, assuming that the UE is </w:t>
      </w:r>
      <w:r>
        <w:rPr>
          <w:rFonts w:ascii="Times New Roman" w:hAnsi="Times New Roman" w:eastAsia="Batang"/>
          <w:iCs/>
          <w:sz w:val="20"/>
          <w:szCs w:val="20"/>
          <w:lang w:val="en-GB" w:eastAsia="en-US"/>
        </w:rPr>
        <w:t>configured to report X=2 sets of CSI associated with STRP measurement hypotheses and one CSI associated with MTRP measurement hypothesis</w:t>
      </w:r>
      <w:r>
        <w:rPr>
          <w:rFonts w:ascii="Times New Roman" w:hAnsi="Times New Roman" w:eastAsia="宋体"/>
          <w:iCs/>
          <w:sz w:val="20"/>
          <w:szCs w:val="20"/>
        </w:rPr>
        <w:t>, the m</w:t>
      </w:r>
      <w:r>
        <w:rPr>
          <w:rFonts w:ascii="Times New Roman" w:hAnsi="Times New Roman" w:eastAsia="Batang"/>
          <w:bCs/>
          <w:sz w:val="20"/>
          <w:szCs w:val="20"/>
        </w:rPr>
        <w:t xml:space="preserve">apping order of legacy CSI fields for CSI part 1, wideband CSI part 2 and subband CSI part 2 can be naturally extended as given in Table </w:t>
      </w:r>
      <w:r>
        <w:rPr>
          <w:rFonts w:hint="eastAsia" w:ascii="Times New Roman" w:hAnsi="Times New Roman" w:eastAsia="宋体"/>
          <w:bCs/>
          <w:sz w:val="20"/>
          <w:szCs w:val="20"/>
        </w:rPr>
        <w:t>2-1</w:t>
      </w:r>
      <w:r>
        <w:rPr>
          <w:rFonts w:ascii="Times New Roman" w:hAnsi="Times New Roman" w:eastAsia="Batang"/>
          <w:bCs/>
          <w:sz w:val="20"/>
          <w:szCs w:val="20"/>
        </w:rPr>
        <w:t>, 2-</w:t>
      </w:r>
      <w:r>
        <w:rPr>
          <w:rFonts w:hint="eastAsia" w:ascii="Times New Roman" w:hAnsi="Times New Roman" w:eastAsia="宋体"/>
          <w:bCs/>
          <w:sz w:val="20"/>
          <w:szCs w:val="20"/>
        </w:rPr>
        <w:t>2</w:t>
      </w:r>
      <w:r>
        <w:rPr>
          <w:rFonts w:ascii="Times New Roman" w:hAnsi="Times New Roman" w:eastAsia="Batang"/>
          <w:bCs/>
          <w:sz w:val="20"/>
          <w:szCs w:val="20"/>
        </w:rPr>
        <w:t xml:space="preserve"> and 2-</w:t>
      </w:r>
      <w:r>
        <w:rPr>
          <w:rFonts w:hint="eastAsia" w:ascii="Times New Roman" w:hAnsi="Times New Roman" w:eastAsia="宋体"/>
          <w:bCs/>
          <w:sz w:val="20"/>
          <w:szCs w:val="20"/>
        </w:rPr>
        <w:t>3</w:t>
      </w:r>
      <w:r>
        <w:rPr>
          <w:rFonts w:ascii="Times New Roman" w:hAnsi="Times New Roman" w:eastAsia="Batang"/>
          <w:bCs/>
          <w:sz w:val="20"/>
          <w:szCs w:val="20"/>
        </w:rPr>
        <w:t xml:space="preserve"> respectively for a CSI report #n, where two RIs and PMIs are needed for the MTRP CSI report. It is noted that the current CSI mapping tables are specified in 38.212 section 6.3. </w:t>
      </w:r>
      <w:r>
        <w:rPr>
          <w:rFonts w:hint="eastAsia" w:ascii="Times New Roman" w:hAnsi="Times New Roman" w:eastAsia="宋体"/>
          <w:bCs/>
          <w:sz w:val="20"/>
          <w:szCs w:val="20"/>
        </w:rPr>
        <w:t xml:space="preserve"> </w:t>
      </w:r>
    </w:p>
    <w:p>
      <w:pPr>
        <w:adjustRightInd w:val="0"/>
        <w:snapToGrid w:val="0"/>
        <w:spacing w:before="180" w:beforeLines="50" w:after="180" w:afterLines="50" w:line="240" w:lineRule="auto"/>
        <w:jc w:val="center"/>
        <w:rPr>
          <w:rFonts w:ascii="Times New Roman" w:hAnsi="Times New Roman" w:eastAsia="Batang"/>
          <w:bCs/>
          <w:sz w:val="20"/>
          <w:szCs w:val="20"/>
        </w:rPr>
      </w:pPr>
      <w:r>
        <w:rPr>
          <w:rFonts w:ascii="Times New Roman" w:hAnsi="Times New Roman" w:eastAsia="Batang"/>
          <w:bCs/>
          <w:sz w:val="20"/>
          <w:szCs w:val="20"/>
        </w:rPr>
        <w:t xml:space="preserve">Table </w:t>
      </w:r>
      <w:r>
        <w:rPr>
          <w:rFonts w:hint="eastAsia" w:ascii="Times New Roman" w:hAnsi="Times New Roman" w:eastAsia="宋体"/>
          <w:bCs/>
          <w:sz w:val="20"/>
          <w:szCs w:val="20"/>
        </w:rPr>
        <w:t>2-1</w:t>
      </w:r>
      <w:r>
        <w:rPr>
          <w:rFonts w:ascii="Times New Roman" w:hAnsi="Times New Roman" w:eastAsia="Batang"/>
          <w:bCs/>
          <w:sz w:val="20"/>
          <w:szCs w:val="20"/>
        </w:rPr>
        <w:t>: Mapping order of CSI fields of one CSI report #n, CSI part 1</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4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restart"/>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bCs/>
                <w:sz w:val="20"/>
                <w:szCs w:val="20"/>
              </w:rPr>
            </w:pPr>
            <w:r>
              <w:rPr>
                <w:rFonts w:ascii="Times New Roman" w:hAnsi="Times New Roman"/>
                <w:bCs/>
                <w:sz w:val="20"/>
                <w:szCs w:val="20"/>
              </w:rPr>
              <w:t>For MTRP</w:t>
            </w:r>
          </w:p>
        </w:tc>
        <w:tc>
          <w:tcPr>
            <w:tcW w:w="4483"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宋体"/>
                <w:bCs/>
                <w:sz w:val="20"/>
                <w:szCs w:val="20"/>
              </w:rPr>
            </w:pPr>
            <w:r>
              <w:rPr>
                <w:rFonts w:ascii="Times New Roman" w:hAnsi="Times New Roman" w:eastAsia="Batang"/>
                <w:bCs/>
                <w:sz w:val="20"/>
                <w:szCs w:val="20"/>
              </w:rPr>
              <w:t>CRI</w:t>
            </w:r>
            <w:r>
              <w:rPr>
                <w:rFonts w:hint="eastAsia" w:ascii="Times New Roman" w:hAnsi="Times New Roman" w:eastAsia="宋体"/>
                <w:bCs/>
                <w:sz w:val="20"/>
                <w:szCs w:val="20"/>
              </w:rPr>
              <w:t>_m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continue"/>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p>
        </w:tc>
        <w:tc>
          <w:tcPr>
            <w:tcW w:w="4483"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宋体"/>
                <w:bCs/>
                <w:sz w:val="20"/>
                <w:szCs w:val="20"/>
              </w:rPr>
            </w:pPr>
            <w:r>
              <w:rPr>
                <w:rFonts w:ascii="Times New Roman" w:hAnsi="Times New Roman" w:eastAsia="Batang"/>
                <w:bCs/>
                <w:sz w:val="20"/>
                <w:szCs w:val="20"/>
              </w:rPr>
              <w:t>RI</w:t>
            </w:r>
            <w:r>
              <w:rPr>
                <w:rFonts w:hint="eastAsia" w:ascii="Times New Roman" w:hAnsi="Times New Roman" w:eastAsia="宋体"/>
                <w:bCs/>
                <w:sz w:val="20"/>
                <w:szCs w:val="20"/>
              </w:rPr>
              <w:t>_m1 and RI_m2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continue"/>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4483"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ascii="Times New Roman" w:hAnsi="Times New Roman" w:eastAsia="Batang"/>
                <w:sz w:val="20"/>
                <w:szCs w:val="20"/>
                <w:lang w:val="en-GB"/>
              </w:rPr>
              <w:t>Wideband CQI</w:t>
            </w:r>
            <w:r>
              <w:rPr>
                <w:rFonts w:hint="eastAsia" w:ascii="Times New Roman" w:hAnsi="Times New Roman" w:eastAsia="宋体"/>
                <w:sz w:val="20"/>
                <w:szCs w:val="20"/>
              </w:rPr>
              <w:t>_m</w:t>
            </w:r>
            <w:r>
              <w:rPr>
                <w:rFonts w:ascii="Times New Roman" w:hAnsi="Times New Roman" w:eastAsia="Batang"/>
                <w:sz w:val="20"/>
                <w:szCs w:val="20"/>
                <w:lang w:val="en-GB"/>
              </w:rPr>
              <w:t xml:space="preserve"> for the first 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continue"/>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4483"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ascii="Times New Roman" w:hAnsi="Times New Roman" w:eastAsia="Batang"/>
                <w:sz w:val="20"/>
                <w:szCs w:val="20"/>
                <w:lang w:val="en-GB"/>
              </w:rPr>
              <w:t>Subband differential CQI</w:t>
            </w:r>
            <w:r>
              <w:rPr>
                <w:rFonts w:hint="eastAsia" w:ascii="Times New Roman" w:hAnsi="Times New Roman" w:eastAsia="宋体"/>
                <w:sz w:val="20"/>
                <w:szCs w:val="20"/>
              </w:rPr>
              <w:t>_m</w:t>
            </w:r>
            <w:r>
              <w:rPr>
                <w:rFonts w:ascii="Times New Roman" w:hAnsi="Times New Roman" w:eastAsia="Batang"/>
                <w:sz w:val="20"/>
                <w:szCs w:val="20"/>
                <w:lang w:val="en-GB"/>
              </w:rPr>
              <w:t xml:space="preserve"> for the first 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restart"/>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bCs/>
                <w:sz w:val="20"/>
                <w:szCs w:val="20"/>
              </w:rPr>
            </w:pPr>
            <w:r>
              <w:rPr>
                <w:rFonts w:hint="eastAsia" w:ascii="Times New Roman" w:hAnsi="Times New Roman"/>
                <w:bCs/>
                <w:sz w:val="20"/>
                <w:szCs w:val="20"/>
              </w:rPr>
              <w:t>F</w:t>
            </w:r>
            <w:r>
              <w:rPr>
                <w:rFonts w:ascii="Times New Roman" w:hAnsi="Times New Roman"/>
                <w:bCs/>
                <w:sz w:val="20"/>
                <w:szCs w:val="20"/>
              </w:rPr>
              <w:t>or 1</w:t>
            </w:r>
            <w:r>
              <w:rPr>
                <w:rFonts w:ascii="Times New Roman" w:hAnsi="Times New Roman"/>
                <w:bCs/>
                <w:sz w:val="20"/>
                <w:szCs w:val="20"/>
                <w:vertAlign w:val="superscript"/>
              </w:rPr>
              <w:t>st</w:t>
            </w:r>
            <w:r>
              <w:rPr>
                <w:rFonts w:ascii="Times New Roman" w:hAnsi="Times New Roman"/>
                <w:bCs/>
                <w:sz w:val="20"/>
                <w:szCs w:val="20"/>
              </w:rPr>
              <w:t xml:space="preserve"> TRP</w:t>
            </w:r>
          </w:p>
        </w:tc>
        <w:tc>
          <w:tcPr>
            <w:tcW w:w="4483" w:type="dxa"/>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bCs/>
                <w:sz w:val="20"/>
                <w:szCs w:val="20"/>
              </w:rPr>
              <w:t>CRI</w:t>
            </w:r>
            <w:r>
              <w:rPr>
                <w:rFonts w:hint="eastAsia" w:ascii="Times New Roman" w:hAnsi="Times New Roman" w:eastAsia="宋体"/>
                <w:bCs/>
                <w:sz w:val="20"/>
                <w:szCs w:val="20"/>
              </w:rPr>
              <w:t>_s1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continue"/>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p>
        </w:tc>
        <w:tc>
          <w:tcPr>
            <w:tcW w:w="4483" w:type="dxa"/>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bCs/>
                <w:sz w:val="20"/>
                <w:szCs w:val="20"/>
              </w:rPr>
              <w:t>RI</w:t>
            </w:r>
            <w:r>
              <w:rPr>
                <w:rFonts w:hint="eastAsia" w:ascii="Times New Roman" w:hAnsi="Times New Roman" w:eastAsia="宋体"/>
                <w:bCs/>
                <w:sz w:val="20"/>
                <w:szCs w:val="20"/>
              </w:rPr>
              <w:t>_s1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2108" w:type="dxa"/>
            <w:vMerge w:val="continue"/>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4483" w:type="dxa"/>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Wideband CQI</w:t>
            </w:r>
            <w:r>
              <w:rPr>
                <w:rFonts w:hint="eastAsia" w:ascii="Times New Roman" w:hAnsi="Times New Roman" w:eastAsia="宋体"/>
                <w:bCs/>
                <w:sz w:val="20"/>
                <w:szCs w:val="20"/>
              </w:rPr>
              <w:t>_s1</w:t>
            </w:r>
            <w:r>
              <w:rPr>
                <w:rFonts w:ascii="Times New Roman" w:hAnsi="Times New Roman" w:eastAsia="Batang"/>
                <w:sz w:val="20"/>
                <w:szCs w:val="20"/>
                <w:lang w:val="en-GB"/>
              </w:rPr>
              <w:t xml:space="preserve"> for the first 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continue"/>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4483" w:type="dxa"/>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Subband differential CQI</w:t>
            </w:r>
            <w:r>
              <w:rPr>
                <w:rFonts w:hint="eastAsia" w:ascii="Times New Roman" w:hAnsi="Times New Roman" w:eastAsia="宋体"/>
                <w:bCs/>
                <w:sz w:val="20"/>
                <w:szCs w:val="20"/>
              </w:rPr>
              <w:t>_s1</w:t>
            </w:r>
            <w:r>
              <w:rPr>
                <w:rFonts w:ascii="Times New Roman" w:hAnsi="Times New Roman" w:eastAsia="Batang"/>
                <w:sz w:val="20"/>
                <w:szCs w:val="20"/>
                <w:lang w:val="en-GB"/>
              </w:rPr>
              <w:t xml:space="preserve"> for the first 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restart"/>
            <w:shd w:val="clear" w:color="auto" w:fill="FFFF00"/>
            <w:vAlign w:val="center"/>
          </w:tcPr>
          <w:p>
            <w:pPr>
              <w:widowControl w:val="0"/>
              <w:adjustRightInd w:val="0"/>
              <w:snapToGrid w:val="0"/>
              <w:spacing w:before="50" w:after="50" w:line="240" w:lineRule="auto"/>
              <w:ind w:firstLine="400" w:firstLineChars="200"/>
              <w:jc w:val="both"/>
              <w:rPr>
                <w:rFonts w:ascii="Times New Roman" w:hAnsi="Times New Roman"/>
                <w:bCs/>
                <w:sz w:val="20"/>
                <w:szCs w:val="20"/>
              </w:rPr>
            </w:pPr>
            <w:r>
              <w:rPr>
                <w:rFonts w:hint="eastAsia" w:ascii="Times New Roman" w:hAnsi="Times New Roman"/>
                <w:bCs/>
                <w:sz w:val="20"/>
                <w:szCs w:val="20"/>
              </w:rPr>
              <w:t>F</w:t>
            </w:r>
            <w:r>
              <w:rPr>
                <w:rFonts w:ascii="Times New Roman" w:hAnsi="Times New Roman"/>
                <w:bCs/>
                <w:sz w:val="20"/>
                <w:szCs w:val="20"/>
              </w:rPr>
              <w:t>or 2</w:t>
            </w:r>
            <w:r>
              <w:rPr>
                <w:rFonts w:ascii="Times New Roman" w:hAnsi="Times New Roman"/>
                <w:bCs/>
                <w:sz w:val="20"/>
                <w:szCs w:val="20"/>
                <w:vertAlign w:val="superscript"/>
              </w:rPr>
              <w:t>nd</w:t>
            </w:r>
            <w:r>
              <w:rPr>
                <w:rFonts w:ascii="Times New Roman" w:hAnsi="Times New Roman"/>
                <w:bCs/>
                <w:sz w:val="20"/>
                <w:szCs w:val="20"/>
              </w:rPr>
              <w:t xml:space="preserve"> TRP</w:t>
            </w:r>
          </w:p>
        </w:tc>
        <w:tc>
          <w:tcPr>
            <w:tcW w:w="4483" w:type="dxa"/>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bCs/>
                <w:sz w:val="20"/>
                <w:szCs w:val="20"/>
              </w:rPr>
              <w:t>CRI</w:t>
            </w:r>
            <w:r>
              <w:rPr>
                <w:rFonts w:hint="eastAsia" w:ascii="Times New Roman" w:hAnsi="Times New Roman" w:eastAsia="宋体"/>
                <w:bCs/>
                <w:sz w:val="20"/>
                <w:szCs w:val="20"/>
              </w:rPr>
              <w:t>_s2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continue"/>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p>
        </w:tc>
        <w:tc>
          <w:tcPr>
            <w:tcW w:w="4483" w:type="dxa"/>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bCs/>
                <w:sz w:val="20"/>
                <w:szCs w:val="20"/>
              </w:rPr>
              <w:t>RI</w:t>
            </w:r>
            <w:r>
              <w:rPr>
                <w:rFonts w:hint="eastAsia" w:ascii="Times New Roman" w:hAnsi="Times New Roman" w:eastAsia="宋体"/>
                <w:bCs/>
                <w:sz w:val="20"/>
                <w:szCs w:val="20"/>
              </w:rPr>
              <w:t>_s2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continue"/>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4483" w:type="dxa"/>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Wideband CQI</w:t>
            </w:r>
            <w:r>
              <w:rPr>
                <w:rFonts w:hint="eastAsia" w:ascii="Times New Roman" w:hAnsi="Times New Roman" w:eastAsia="宋体"/>
                <w:bCs/>
                <w:sz w:val="20"/>
                <w:szCs w:val="20"/>
              </w:rPr>
              <w:t>_s2</w:t>
            </w:r>
            <w:r>
              <w:rPr>
                <w:rFonts w:ascii="Times New Roman" w:hAnsi="Times New Roman" w:eastAsia="Batang"/>
                <w:sz w:val="20"/>
                <w:szCs w:val="20"/>
                <w:lang w:val="en-GB"/>
              </w:rPr>
              <w:t xml:space="preserve"> for the first 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8" w:type="dxa"/>
            <w:vMerge w:val="continue"/>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4483" w:type="dxa"/>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Subband differential CQI</w:t>
            </w:r>
            <w:r>
              <w:rPr>
                <w:rFonts w:hint="eastAsia" w:ascii="Times New Roman" w:hAnsi="Times New Roman" w:eastAsia="宋体"/>
                <w:bCs/>
                <w:sz w:val="20"/>
                <w:szCs w:val="20"/>
              </w:rPr>
              <w:t>_s2</w:t>
            </w:r>
            <w:r>
              <w:rPr>
                <w:rFonts w:hint="eastAsia" w:ascii="Times New Roman" w:hAnsi="Times New Roman" w:eastAsia="宋体"/>
                <w:sz w:val="20"/>
                <w:szCs w:val="20"/>
              </w:rPr>
              <w:t xml:space="preserve"> </w:t>
            </w:r>
            <w:r>
              <w:rPr>
                <w:rFonts w:ascii="Times New Roman" w:hAnsi="Times New Roman" w:eastAsia="Batang"/>
                <w:sz w:val="20"/>
                <w:szCs w:val="20"/>
                <w:lang w:val="en-GB"/>
              </w:rPr>
              <w:t>for the first TB</w:t>
            </w:r>
          </w:p>
        </w:tc>
      </w:tr>
    </w:tbl>
    <w:p>
      <w:pPr>
        <w:adjustRightInd w:val="0"/>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Batang"/>
          <w:bCs/>
          <w:sz w:val="20"/>
          <w:szCs w:val="20"/>
        </w:rPr>
        <w:t xml:space="preserve">Table </w:t>
      </w:r>
      <w:r>
        <w:rPr>
          <w:rFonts w:hint="eastAsia" w:ascii="Times New Roman" w:hAnsi="Times New Roman" w:eastAsia="宋体"/>
          <w:bCs/>
          <w:sz w:val="20"/>
          <w:szCs w:val="20"/>
        </w:rPr>
        <w:t>2-2</w:t>
      </w:r>
      <w:r>
        <w:rPr>
          <w:rFonts w:ascii="Times New Roman" w:hAnsi="Times New Roman" w:eastAsia="Batang"/>
          <w:bCs/>
          <w:sz w:val="20"/>
          <w:szCs w:val="20"/>
        </w:rPr>
        <w:t>: Mapping order of CSI fields of one CSI report #n, CSI part 2 wideband</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2"/>
        <w:gridCol w:w="4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12" w:type="dxa"/>
            <w:vMerge w:val="restart"/>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ascii="Times New Roman" w:hAnsi="Times New Roman"/>
                <w:bCs/>
                <w:sz w:val="20"/>
                <w:szCs w:val="20"/>
              </w:rPr>
              <w:t>For MTRP</w:t>
            </w:r>
          </w:p>
        </w:tc>
        <w:tc>
          <w:tcPr>
            <w:tcW w:w="4371"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ascii="Times New Roman" w:hAnsi="Times New Roman" w:eastAsia="Batang"/>
                <w:bCs/>
                <w:sz w:val="20"/>
                <w:szCs w:val="20"/>
              </w:rPr>
              <w:t>Wideband CQI</w:t>
            </w:r>
            <w:r>
              <w:rPr>
                <w:rFonts w:hint="eastAsia" w:ascii="Times New Roman" w:hAnsi="Times New Roman" w:eastAsia="宋体"/>
                <w:bCs/>
                <w:sz w:val="20"/>
                <w:szCs w:val="20"/>
              </w:rPr>
              <w:t>_m</w:t>
            </w:r>
            <w:r>
              <w:rPr>
                <w:rFonts w:ascii="Times New Roman" w:hAnsi="Times New Roman" w:eastAsia="Batang"/>
                <w:bCs/>
                <w:sz w:val="20"/>
                <w:szCs w:val="20"/>
              </w:rPr>
              <w:t xml:space="preserve"> for the second 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continue"/>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4371"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宋体"/>
                <w:bCs/>
                <w:sz w:val="20"/>
                <w:szCs w:val="20"/>
              </w:rPr>
            </w:pPr>
            <w:r>
              <w:rPr>
                <w:rFonts w:ascii="Times New Roman" w:hAnsi="Times New Roman" w:eastAsia="Batang"/>
                <w:sz w:val="20"/>
                <w:szCs w:val="20"/>
                <w:lang w:val="en-GB"/>
              </w:rPr>
              <w:t>L</w:t>
            </w:r>
            <w:r>
              <w:rPr>
                <w:rFonts w:ascii="Times New Roman" w:hAnsi="Times New Roman" w:eastAsia="Batang"/>
                <w:sz w:val="20"/>
                <w:szCs w:val="20"/>
              </w:rPr>
              <w:t>I</w:t>
            </w:r>
            <w:r>
              <w:rPr>
                <w:rFonts w:hint="eastAsia" w:ascii="Times New Roman" w:hAnsi="Times New Roman" w:eastAsia="宋体"/>
                <w:sz w:val="20"/>
                <w:szCs w:val="20"/>
              </w:rPr>
              <w:t>_m1 and LI_m2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12" w:type="dxa"/>
            <w:vMerge w:val="continue"/>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4371"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ascii="Times New Roman" w:hAnsi="Times New Roman" w:eastAsia="Batang"/>
                <w:sz w:val="20"/>
                <w:szCs w:val="20"/>
                <w:lang w:val="en-GB"/>
              </w:rPr>
              <w:t>Wideband</w:t>
            </w:r>
            <w:r>
              <w:rPr>
                <w:rFonts w:ascii="Times New Roman" w:hAnsi="Times New Roman" w:eastAsia="Batang"/>
                <w:sz w:val="20"/>
                <w:szCs w:val="20"/>
              </w:rPr>
              <w:t xml:space="preserve"> PMI</w:t>
            </w:r>
            <w:r>
              <w:rPr>
                <w:rFonts w:hint="eastAsia" w:ascii="Times New Roman" w:hAnsi="Times New Roman" w:eastAsia="宋体"/>
                <w:sz w:val="20"/>
                <w:szCs w:val="20"/>
              </w:rPr>
              <w:t xml:space="preserve">_m </w:t>
            </w:r>
            <w:r>
              <w:rPr>
                <w:rFonts w:ascii="Times New Roman" w:hAnsi="Times New Roman" w:eastAsia="Batang"/>
                <w:sz w:val="20"/>
                <w:szCs w:val="20"/>
              </w:rPr>
              <w:t>fileds X</w:t>
            </w:r>
            <w:r>
              <w:rPr>
                <w:rFonts w:ascii="Times New Roman" w:hAnsi="Times New Roman" w:eastAsia="Batang"/>
                <w:sz w:val="20"/>
                <w:szCs w:val="20"/>
                <w:vertAlign w:val="sub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continue"/>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4371"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r>
              <w:rPr>
                <w:rFonts w:ascii="Times New Roman" w:hAnsi="Times New Roman" w:eastAsia="Batang"/>
                <w:sz w:val="20"/>
                <w:szCs w:val="20"/>
                <w:lang w:val="en-GB"/>
              </w:rPr>
              <w:t>Wideband</w:t>
            </w:r>
            <w:r>
              <w:rPr>
                <w:rFonts w:ascii="Times New Roman" w:hAnsi="Times New Roman" w:eastAsia="Batang"/>
                <w:sz w:val="20"/>
                <w:szCs w:val="20"/>
              </w:rPr>
              <w:t xml:space="preserve"> PMI</w:t>
            </w:r>
            <w:r>
              <w:rPr>
                <w:rFonts w:hint="eastAsia" w:ascii="Times New Roman" w:hAnsi="Times New Roman" w:eastAsia="宋体"/>
                <w:sz w:val="20"/>
                <w:szCs w:val="20"/>
              </w:rPr>
              <w:t xml:space="preserve">_m </w:t>
            </w:r>
            <w:r>
              <w:rPr>
                <w:rFonts w:ascii="Times New Roman" w:hAnsi="Times New Roman" w:eastAsia="Batang"/>
                <w:sz w:val="20"/>
                <w:szCs w:val="20"/>
              </w:rPr>
              <w:t>fileds X</w:t>
            </w:r>
            <w:r>
              <w:rPr>
                <w:rFonts w:ascii="Times New Roman" w:hAnsi="Times New Roman" w:eastAsia="Batang"/>
                <w:sz w:val="20"/>
                <w:szCs w:val="20"/>
                <w:vertAlign w:val="sub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restart"/>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hint="eastAsia" w:ascii="Times New Roman" w:hAnsi="Times New Roman"/>
                <w:bCs/>
                <w:sz w:val="20"/>
                <w:szCs w:val="20"/>
              </w:rPr>
              <w:t>F</w:t>
            </w:r>
            <w:r>
              <w:rPr>
                <w:rFonts w:ascii="Times New Roman" w:hAnsi="Times New Roman"/>
                <w:bCs/>
                <w:sz w:val="20"/>
                <w:szCs w:val="20"/>
              </w:rPr>
              <w:t>or 1</w:t>
            </w:r>
            <w:r>
              <w:rPr>
                <w:rFonts w:ascii="Times New Roman" w:hAnsi="Times New Roman"/>
                <w:bCs/>
                <w:sz w:val="20"/>
                <w:szCs w:val="20"/>
                <w:vertAlign w:val="superscript"/>
              </w:rPr>
              <w:t>st</w:t>
            </w:r>
            <w:r>
              <w:rPr>
                <w:rFonts w:ascii="Times New Roman" w:hAnsi="Times New Roman"/>
                <w:bCs/>
                <w:sz w:val="20"/>
                <w:szCs w:val="20"/>
              </w:rPr>
              <w:t xml:space="preserve"> TRP</w:t>
            </w:r>
          </w:p>
        </w:tc>
        <w:tc>
          <w:tcPr>
            <w:tcW w:w="4371" w:type="dxa"/>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bCs/>
                <w:sz w:val="20"/>
                <w:szCs w:val="20"/>
              </w:rPr>
              <w:t>Wideband CQI</w:t>
            </w:r>
            <w:r>
              <w:rPr>
                <w:rFonts w:hint="eastAsia" w:ascii="Times New Roman" w:hAnsi="Times New Roman" w:eastAsia="宋体"/>
                <w:bCs/>
                <w:sz w:val="20"/>
                <w:szCs w:val="20"/>
              </w:rPr>
              <w:t>_s1</w:t>
            </w:r>
            <w:r>
              <w:rPr>
                <w:rFonts w:ascii="Times New Roman" w:hAnsi="Times New Roman" w:eastAsia="Batang"/>
                <w:bCs/>
                <w:sz w:val="20"/>
                <w:szCs w:val="20"/>
              </w:rPr>
              <w:t xml:space="preserve"> for the second 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continue"/>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0" w:type="auto"/>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L</w:t>
            </w:r>
            <w:r>
              <w:rPr>
                <w:rFonts w:ascii="Times New Roman" w:hAnsi="Times New Roman" w:eastAsia="Batang"/>
                <w:sz w:val="20"/>
                <w:szCs w:val="20"/>
              </w:rPr>
              <w:t>I</w:t>
            </w:r>
            <w:r>
              <w:rPr>
                <w:rFonts w:hint="eastAsia" w:ascii="Times New Roman" w:hAnsi="Times New Roman" w:eastAsia="宋体"/>
                <w:sz w:val="20"/>
                <w:szCs w:val="20"/>
              </w:rPr>
              <w:t>_s1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continue"/>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0" w:type="auto"/>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Wideband</w:t>
            </w:r>
            <w:r>
              <w:rPr>
                <w:rFonts w:ascii="Times New Roman" w:hAnsi="Times New Roman" w:eastAsia="Batang"/>
                <w:sz w:val="20"/>
                <w:szCs w:val="20"/>
              </w:rPr>
              <w:t xml:space="preserve"> PMI</w:t>
            </w:r>
            <w:r>
              <w:rPr>
                <w:rFonts w:hint="eastAsia" w:ascii="Times New Roman" w:hAnsi="Times New Roman" w:eastAsia="宋体"/>
                <w:sz w:val="20"/>
                <w:szCs w:val="20"/>
              </w:rPr>
              <w:t>_s1</w:t>
            </w:r>
            <w:r>
              <w:rPr>
                <w:rFonts w:ascii="Times New Roman" w:hAnsi="Times New Roman" w:eastAsia="Batang"/>
                <w:sz w:val="20"/>
                <w:szCs w:val="20"/>
              </w:rPr>
              <w:t xml:space="preserve"> fileds X</w:t>
            </w:r>
            <w:r>
              <w:rPr>
                <w:rFonts w:ascii="Times New Roman" w:hAnsi="Times New Roman" w:eastAsia="Batang"/>
                <w:sz w:val="20"/>
                <w:szCs w:val="20"/>
                <w:vertAlign w:val="sub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continue"/>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0" w:type="auto"/>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r>
              <w:rPr>
                <w:rFonts w:ascii="Times New Roman" w:hAnsi="Times New Roman" w:eastAsia="Batang"/>
                <w:sz w:val="20"/>
                <w:szCs w:val="20"/>
                <w:lang w:val="en-GB"/>
              </w:rPr>
              <w:t>Wideband</w:t>
            </w:r>
            <w:r>
              <w:rPr>
                <w:rFonts w:ascii="Times New Roman" w:hAnsi="Times New Roman" w:eastAsia="Batang"/>
                <w:sz w:val="20"/>
                <w:szCs w:val="20"/>
              </w:rPr>
              <w:t xml:space="preserve"> PMI</w:t>
            </w:r>
            <w:r>
              <w:rPr>
                <w:rFonts w:hint="eastAsia" w:ascii="Times New Roman" w:hAnsi="Times New Roman" w:eastAsia="宋体"/>
                <w:bCs/>
                <w:sz w:val="20"/>
                <w:szCs w:val="20"/>
              </w:rPr>
              <w:t>_s1</w:t>
            </w:r>
            <w:r>
              <w:rPr>
                <w:rFonts w:hint="eastAsia" w:ascii="Times New Roman" w:hAnsi="Times New Roman" w:eastAsia="宋体"/>
                <w:sz w:val="20"/>
                <w:szCs w:val="20"/>
              </w:rPr>
              <w:t xml:space="preserve"> </w:t>
            </w:r>
            <w:r>
              <w:rPr>
                <w:rFonts w:ascii="Times New Roman" w:hAnsi="Times New Roman" w:eastAsia="Batang"/>
                <w:sz w:val="20"/>
                <w:szCs w:val="20"/>
              </w:rPr>
              <w:t>fileds X</w:t>
            </w:r>
            <w:r>
              <w:rPr>
                <w:rFonts w:ascii="Times New Roman" w:hAnsi="Times New Roman" w:eastAsia="Batang"/>
                <w:sz w:val="20"/>
                <w:szCs w:val="20"/>
                <w:vertAlign w:val="sub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restart"/>
            <w:shd w:val="clear" w:color="auto" w:fill="FFFF00"/>
            <w:vAlign w:val="center"/>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hint="eastAsia" w:ascii="Times New Roman" w:hAnsi="Times New Roman"/>
                <w:bCs/>
                <w:sz w:val="20"/>
                <w:szCs w:val="20"/>
              </w:rPr>
              <w:t>F</w:t>
            </w:r>
            <w:r>
              <w:rPr>
                <w:rFonts w:ascii="Times New Roman" w:hAnsi="Times New Roman"/>
                <w:bCs/>
                <w:sz w:val="20"/>
                <w:szCs w:val="20"/>
              </w:rPr>
              <w:t>or 2</w:t>
            </w:r>
            <w:r>
              <w:rPr>
                <w:rFonts w:ascii="Times New Roman" w:hAnsi="Times New Roman"/>
                <w:bCs/>
                <w:sz w:val="20"/>
                <w:szCs w:val="20"/>
                <w:vertAlign w:val="superscript"/>
              </w:rPr>
              <w:t>nd</w:t>
            </w:r>
            <w:r>
              <w:rPr>
                <w:rFonts w:ascii="Times New Roman" w:hAnsi="Times New Roman"/>
                <w:bCs/>
                <w:sz w:val="20"/>
                <w:szCs w:val="20"/>
              </w:rPr>
              <w:t xml:space="preserve"> TRP</w:t>
            </w:r>
          </w:p>
        </w:tc>
        <w:tc>
          <w:tcPr>
            <w:tcW w:w="0" w:type="auto"/>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bCs/>
                <w:sz w:val="20"/>
                <w:szCs w:val="20"/>
              </w:rPr>
              <w:t>Wideband CQI</w:t>
            </w:r>
            <w:r>
              <w:rPr>
                <w:rFonts w:hint="eastAsia" w:ascii="Times New Roman" w:hAnsi="Times New Roman" w:eastAsia="宋体"/>
                <w:bCs/>
                <w:sz w:val="20"/>
                <w:szCs w:val="20"/>
              </w:rPr>
              <w:t>_s2</w:t>
            </w:r>
            <w:r>
              <w:rPr>
                <w:rFonts w:ascii="Times New Roman" w:hAnsi="Times New Roman" w:eastAsia="Batang"/>
                <w:bCs/>
                <w:sz w:val="20"/>
                <w:szCs w:val="20"/>
              </w:rPr>
              <w:t xml:space="preserve"> for the second 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continue"/>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0" w:type="auto"/>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L</w:t>
            </w:r>
            <w:r>
              <w:rPr>
                <w:rFonts w:ascii="Times New Roman" w:hAnsi="Times New Roman" w:eastAsia="Batang"/>
                <w:sz w:val="20"/>
                <w:szCs w:val="20"/>
              </w:rPr>
              <w:t>I</w:t>
            </w:r>
            <w:r>
              <w:rPr>
                <w:rFonts w:hint="eastAsia" w:ascii="Times New Roman" w:hAnsi="Times New Roman" w:eastAsia="宋体"/>
                <w:bCs/>
                <w:sz w:val="20"/>
                <w:szCs w:val="20"/>
              </w:rPr>
              <w:t>_s2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continue"/>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0" w:type="auto"/>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Wideband</w:t>
            </w:r>
            <w:r>
              <w:rPr>
                <w:rFonts w:ascii="Times New Roman" w:hAnsi="Times New Roman" w:eastAsia="Batang"/>
                <w:sz w:val="20"/>
                <w:szCs w:val="20"/>
              </w:rPr>
              <w:t xml:space="preserve"> PMI</w:t>
            </w:r>
            <w:r>
              <w:rPr>
                <w:rFonts w:hint="eastAsia" w:ascii="Times New Roman" w:hAnsi="Times New Roman" w:eastAsia="宋体"/>
                <w:bCs/>
                <w:sz w:val="20"/>
                <w:szCs w:val="20"/>
              </w:rPr>
              <w:t>_s2</w:t>
            </w:r>
            <w:r>
              <w:rPr>
                <w:rFonts w:ascii="Times New Roman" w:hAnsi="Times New Roman" w:eastAsia="Batang"/>
                <w:sz w:val="20"/>
                <w:szCs w:val="20"/>
              </w:rPr>
              <w:t xml:space="preserve"> fileds X</w:t>
            </w:r>
            <w:r>
              <w:rPr>
                <w:rFonts w:ascii="Times New Roman" w:hAnsi="Times New Roman" w:eastAsia="Batang"/>
                <w:sz w:val="20"/>
                <w:szCs w:val="20"/>
                <w:vertAlign w:val="sub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2" w:type="dxa"/>
            <w:vMerge w:val="continue"/>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0" w:type="auto"/>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r>
              <w:rPr>
                <w:rFonts w:ascii="Times New Roman" w:hAnsi="Times New Roman" w:eastAsia="Batang"/>
                <w:sz w:val="20"/>
                <w:szCs w:val="20"/>
                <w:lang w:val="en-GB"/>
              </w:rPr>
              <w:t>Wideband</w:t>
            </w:r>
            <w:r>
              <w:rPr>
                <w:rFonts w:ascii="Times New Roman" w:hAnsi="Times New Roman" w:eastAsia="Batang"/>
                <w:sz w:val="20"/>
                <w:szCs w:val="20"/>
              </w:rPr>
              <w:t xml:space="preserve"> PMI</w:t>
            </w:r>
            <w:r>
              <w:rPr>
                <w:rFonts w:hint="eastAsia" w:ascii="Times New Roman" w:hAnsi="Times New Roman" w:eastAsia="宋体"/>
                <w:bCs/>
                <w:sz w:val="20"/>
                <w:szCs w:val="20"/>
              </w:rPr>
              <w:t>_s2</w:t>
            </w:r>
            <w:r>
              <w:rPr>
                <w:rFonts w:hint="eastAsia" w:ascii="Times New Roman" w:hAnsi="Times New Roman" w:eastAsia="宋体"/>
                <w:sz w:val="20"/>
                <w:szCs w:val="20"/>
              </w:rPr>
              <w:t xml:space="preserve"> </w:t>
            </w:r>
            <w:r>
              <w:rPr>
                <w:rFonts w:ascii="Times New Roman" w:hAnsi="Times New Roman" w:eastAsia="Batang"/>
                <w:sz w:val="20"/>
                <w:szCs w:val="20"/>
              </w:rPr>
              <w:t>fileds X</w:t>
            </w:r>
            <w:r>
              <w:rPr>
                <w:rFonts w:ascii="Times New Roman" w:hAnsi="Times New Roman" w:eastAsia="Batang"/>
                <w:sz w:val="20"/>
                <w:szCs w:val="20"/>
                <w:vertAlign w:val="subscript"/>
              </w:rPr>
              <w:t>2</w:t>
            </w:r>
          </w:p>
        </w:tc>
      </w:tr>
    </w:tbl>
    <w:p>
      <w:pPr>
        <w:adjustRightInd w:val="0"/>
        <w:snapToGrid w:val="0"/>
        <w:spacing w:before="180" w:beforeLines="50" w:after="180" w:afterLines="50" w:line="240" w:lineRule="auto"/>
        <w:jc w:val="center"/>
        <w:rPr>
          <w:rFonts w:ascii="Times New Roman" w:hAnsi="Times New Roman" w:eastAsia="Batang"/>
          <w:bCs/>
          <w:sz w:val="20"/>
          <w:szCs w:val="20"/>
        </w:rPr>
      </w:pPr>
      <w:r>
        <w:rPr>
          <w:rFonts w:ascii="Times New Roman" w:hAnsi="Times New Roman" w:eastAsia="Batang"/>
          <w:bCs/>
          <w:sz w:val="20"/>
          <w:szCs w:val="20"/>
        </w:rPr>
        <w:t xml:space="preserve">Table </w:t>
      </w:r>
      <w:r>
        <w:rPr>
          <w:rFonts w:hint="eastAsia" w:ascii="Times New Roman" w:hAnsi="Times New Roman" w:eastAsia="宋体"/>
          <w:bCs/>
          <w:sz w:val="20"/>
          <w:szCs w:val="20"/>
        </w:rPr>
        <w:t>2-3</w:t>
      </w:r>
      <w:r>
        <w:rPr>
          <w:rFonts w:ascii="Times New Roman" w:hAnsi="Times New Roman" w:eastAsia="Batang"/>
          <w:bCs/>
          <w:sz w:val="20"/>
          <w:szCs w:val="20"/>
        </w:rPr>
        <w:t>: Mapping order of CSI fields of one CSI report #n, CSI part 2 subband</w:t>
      </w:r>
    </w:p>
    <w:tbl>
      <w:tblPr>
        <w:tblStyle w:val="29"/>
        <w:tblW w:w="8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6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restart"/>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r>
              <w:rPr>
                <w:rFonts w:ascii="Times New Roman" w:hAnsi="Times New Roman"/>
                <w:bCs/>
                <w:sz w:val="20"/>
                <w:szCs w:val="20"/>
              </w:rPr>
              <w:t>For MTRP</w:t>
            </w:r>
          </w:p>
        </w:tc>
        <w:tc>
          <w:tcPr>
            <w:tcW w:w="6397"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ascii="Times New Roman" w:hAnsi="Times New Roman" w:eastAsia="Batang"/>
                <w:sz w:val="20"/>
                <w:szCs w:val="20"/>
                <w:lang w:val="en-GB"/>
              </w:rPr>
              <w:t>Subband differential CQI</w:t>
            </w:r>
            <w:r>
              <w:rPr>
                <w:rFonts w:hint="eastAsia" w:ascii="Times New Roman" w:hAnsi="Times New Roman" w:eastAsia="宋体"/>
                <w:sz w:val="20"/>
                <w:szCs w:val="20"/>
              </w:rPr>
              <w:t>_m</w:t>
            </w:r>
            <w:r>
              <w:rPr>
                <w:rFonts w:ascii="Times New Roman" w:hAnsi="Times New Roman" w:eastAsia="Batang"/>
                <w:sz w:val="20"/>
                <w:szCs w:val="20"/>
                <w:lang w:val="en-GB"/>
              </w:rPr>
              <w:t xml:space="preserve"> for the second TB of all even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rPr>
            </w:pPr>
          </w:p>
        </w:tc>
        <w:tc>
          <w:tcPr>
            <w:tcW w:w="6397"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ascii="Times New Roman" w:hAnsi="Times New Roman" w:eastAsia="Batang"/>
                <w:sz w:val="20"/>
                <w:szCs w:val="20"/>
              </w:rPr>
              <w:t>Sub</w:t>
            </w:r>
            <w:r>
              <w:rPr>
                <w:rFonts w:ascii="Times New Roman" w:hAnsi="Times New Roman" w:eastAsia="Batang"/>
                <w:sz w:val="20"/>
                <w:szCs w:val="20"/>
                <w:lang w:val="en-GB"/>
              </w:rPr>
              <w:t>band</w:t>
            </w:r>
            <w:r>
              <w:rPr>
                <w:rFonts w:ascii="Times New Roman" w:hAnsi="Times New Roman" w:eastAsia="Batang"/>
                <w:sz w:val="20"/>
                <w:szCs w:val="20"/>
              </w:rPr>
              <w:t xml:space="preserve"> PMI</w:t>
            </w:r>
            <w:r>
              <w:rPr>
                <w:rFonts w:hint="eastAsia" w:ascii="Times New Roman" w:hAnsi="Times New Roman" w:eastAsia="宋体"/>
                <w:sz w:val="20"/>
                <w:szCs w:val="20"/>
              </w:rPr>
              <w:t>_m fields X</w:t>
            </w:r>
            <w:r>
              <w:rPr>
                <w:rFonts w:hint="eastAsia" w:ascii="Times New Roman" w:hAnsi="Times New Roman" w:eastAsia="宋体"/>
                <w:sz w:val="20"/>
                <w:szCs w:val="20"/>
                <w:vertAlign w:val="subscript"/>
              </w:rPr>
              <w:t>2</w:t>
            </w:r>
            <w:r>
              <w:rPr>
                <w:rFonts w:ascii="Times New Roman" w:hAnsi="Times New Roman" w:eastAsia="Batang"/>
                <w:sz w:val="20"/>
                <w:szCs w:val="20"/>
                <w:lang w:val="en-GB"/>
              </w:rPr>
              <w:t xml:space="preserve"> of all even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6397"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ascii="Times New Roman" w:hAnsi="Times New Roman" w:eastAsia="Batang"/>
                <w:sz w:val="20"/>
                <w:szCs w:val="20"/>
                <w:lang w:val="en-GB"/>
              </w:rPr>
              <w:t>Subband differential CQI</w:t>
            </w:r>
            <w:r>
              <w:rPr>
                <w:rFonts w:hint="eastAsia" w:ascii="Times New Roman" w:hAnsi="Times New Roman" w:eastAsia="宋体"/>
                <w:sz w:val="20"/>
                <w:szCs w:val="20"/>
              </w:rPr>
              <w:t>_m</w:t>
            </w:r>
            <w:r>
              <w:rPr>
                <w:rFonts w:ascii="Times New Roman" w:hAnsi="Times New Roman" w:eastAsia="Batang"/>
                <w:sz w:val="20"/>
                <w:szCs w:val="20"/>
                <w:lang w:val="en-GB"/>
              </w:rPr>
              <w:t xml:space="preserve"> for the second TB of all </w:t>
            </w:r>
            <w:r>
              <w:rPr>
                <w:rFonts w:ascii="Times New Roman" w:hAnsi="Times New Roman" w:eastAsia="Batang"/>
                <w:sz w:val="20"/>
                <w:szCs w:val="20"/>
              </w:rPr>
              <w:t>odd</w:t>
            </w:r>
            <w:r>
              <w:rPr>
                <w:rFonts w:ascii="Times New Roman" w:hAnsi="Times New Roman" w:eastAsia="Batang"/>
                <w:sz w:val="20"/>
                <w:szCs w:val="20"/>
                <w:lang w:val="en-GB"/>
              </w:rPr>
              <w:t xml:space="preserve">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shd w:val="clear" w:color="auto" w:fill="00B0F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rPr>
            </w:pPr>
          </w:p>
        </w:tc>
        <w:tc>
          <w:tcPr>
            <w:tcW w:w="6397" w:type="dxa"/>
            <w:shd w:val="clear" w:color="auto" w:fill="00B0F0"/>
          </w:tcPr>
          <w:p>
            <w:pPr>
              <w:widowControl w:val="0"/>
              <w:adjustRightInd w:val="0"/>
              <w:snapToGrid w:val="0"/>
              <w:spacing w:before="50" w:after="50" w:line="240" w:lineRule="auto"/>
              <w:ind w:firstLine="400" w:firstLineChars="200"/>
              <w:jc w:val="both"/>
              <w:rPr>
                <w:rFonts w:ascii="Times New Roman" w:hAnsi="Times New Roman" w:eastAsia="Batang"/>
                <w:bCs/>
                <w:sz w:val="20"/>
                <w:szCs w:val="20"/>
              </w:rPr>
            </w:pPr>
            <w:r>
              <w:rPr>
                <w:rFonts w:ascii="Times New Roman" w:hAnsi="Times New Roman" w:eastAsia="Batang"/>
                <w:sz w:val="20"/>
                <w:szCs w:val="20"/>
              </w:rPr>
              <w:t>Sub</w:t>
            </w:r>
            <w:r>
              <w:rPr>
                <w:rFonts w:ascii="Times New Roman" w:hAnsi="Times New Roman" w:eastAsia="Batang"/>
                <w:sz w:val="20"/>
                <w:szCs w:val="20"/>
                <w:lang w:val="en-GB"/>
              </w:rPr>
              <w:t>band</w:t>
            </w:r>
            <w:r>
              <w:rPr>
                <w:rFonts w:ascii="Times New Roman" w:hAnsi="Times New Roman" w:eastAsia="Batang"/>
                <w:sz w:val="20"/>
                <w:szCs w:val="20"/>
              </w:rPr>
              <w:t xml:space="preserve"> PMI</w:t>
            </w:r>
            <w:r>
              <w:rPr>
                <w:rFonts w:hint="eastAsia" w:ascii="Times New Roman" w:hAnsi="Times New Roman" w:eastAsia="宋体"/>
                <w:sz w:val="20"/>
                <w:szCs w:val="20"/>
              </w:rPr>
              <w:t>_m fields X</w:t>
            </w:r>
            <w:r>
              <w:rPr>
                <w:rFonts w:hint="eastAsia" w:ascii="Times New Roman" w:hAnsi="Times New Roman" w:eastAsia="宋体"/>
                <w:sz w:val="20"/>
                <w:szCs w:val="20"/>
                <w:vertAlign w:val="subscript"/>
              </w:rPr>
              <w:t>2</w:t>
            </w:r>
            <w:r>
              <w:rPr>
                <w:rFonts w:ascii="Times New Roman" w:hAnsi="Times New Roman" w:eastAsia="Batang"/>
                <w:sz w:val="20"/>
                <w:szCs w:val="20"/>
                <w:lang w:val="en-GB"/>
              </w:rPr>
              <w:t xml:space="preserve"> </w:t>
            </w:r>
            <w:r>
              <w:rPr>
                <w:rFonts w:hint="eastAsia" w:ascii="Times New Roman" w:hAnsi="Times New Roman" w:eastAsia="宋体"/>
                <w:sz w:val="20"/>
                <w:szCs w:val="20"/>
              </w:rPr>
              <w:t xml:space="preserve">of all </w:t>
            </w:r>
            <w:r>
              <w:rPr>
                <w:rFonts w:ascii="Times New Roman" w:hAnsi="Times New Roman" w:eastAsia="Batang"/>
                <w:sz w:val="20"/>
                <w:szCs w:val="20"/>
              </w:rPr>
              <w:t>odd</w:t>
            </w:r>
            <w:r>
              <w:rPr>
                <w:rFonts w:ascii="Times New Roman" w:hAnsi="Times New Roman" w:eastAsia="Batang"/>
                <w:sz w:val="20"/>
                <w:szCs w:val="20"/>
                <w:lang w:val="en-GB"/>
              </w:rPr>
              <w:t xml:space="preserve">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restart"/>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r>
              <w:rPr>
                <w:rFonts w:hint="eastAsia" w:ascii="Times New Roman" w:hAnsi="Times New Roman"/>
                <w:bCs/>
                <w:sz w:val="20"/>
                <w:szCs w:val="20"/>
              </w:rPr>
              <w:t>F</w:t>
            </w:r>
            <w:r>
              <w:rPr>
                <w:rFonts w:ascii="Times New Roman" w:hAnsi="Times New Roman"/>
                <w:bCs/>
                <w:sz w:val="20"/>
                <w:szCs w:val="20"/>
              </w:rPr>
              <w:t>or 1</w:t>
            </w:r>
            <w:r>
              <w:rPr>
                <w:rFonts w:ascii="Times New Roman" w:hAnsi="Times New Roman"/>
                <w:bCs/>
                <w:sz w:val="20"/>
                <w:szCs w:val="20"/>
                <w:vertAlign w:val="superscript"/>
              </w:rPr>
              <w:t>st</w:t>
            </w:r>
            <w:r>
              <w:rPr>
                <w:rFonts w:ascii="Times New Roman" w:hAnsi="Times New Roman"/>
                <w:bCs/>
                <w:sz w:val="20"/>
                <w:szCs w:val="20"/>
              </w:rPr>
              <w:t xml:space="preserve"> TRP</w:t>
            </w:r>
          </w:p>
        </w:tc>
        <w:tc>
          <w:tcPr>
            <w:tcW w:w="6397" w:type="dxa"/>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Subband differential CQI</w:t>
            </w:r>
            <w:r>
              <w:rPr>
                <w:rFonts w:hint="eastAsia" w:ascii="Times New Roman" w:hAnsi="Times New Roman" w:eastAsia="宋体"/>
                <w:bCs/>
                <w:sz w:val="20"/>
                <w:szCs w:val="20"/>
              </w:rPr>
              <w:t>_s1</w:t>
            </w:r>
            <w:r>
              <w:rPr>
                <w:rFonts w:ascii="Times New Roman" w:hAnsi="Times New Roman" w:eastAsia="Batang"/>
                <w:sz w:val="20"/>
                <w:szCs w:val="20"/>
                <w:lang w:val="en-GB"/>
              </w:rPr>
              <w:t xml:space="preserve"> for the second TB of all even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rPr>
            </w:pPr>
          </w:p>
        </w:tc>
        <w:tc>
          <w:tcPr>
            <w:tcW w:w="6397" w:type="dxa"/>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rPr>
              <w:t>Sub</w:t>
            </w:r>
            <w:r>
              <w:rPr>
                <w:rFonts w:ascii="Times New Roman" w:hAnsi="Times New Roman" w:eastAsia="Batang"/>
                <w:sz w:val="20"/>
                <w:szCs w:val="20"/>
                <w:lang w:val="en-GB"/>
              </w:rPr>
              <w:t>band</w:t>
            </w:r>
            <w:r>
              <w:rPr>
                <w:rFonts w:ascii="Times New Roman" w:hAnsi="Times New Roman" w:eastAsia="Batang"/>
                <w:sz w:val="20"/>
                <w:szCs w:val="20"/>
              </w:rPr>
              <w:t xml:space="preserve"> PMI</w:t>
            </w:r>
            <w:r>
              <w:rPr>
                <w:rFonts w:hint="eastAsia" w:ascii="Times New Roman" w:hAnsi="Times New Roman" w:eastAsia="宋体"/>
                <w:bCs/>
                <w:sz w:val="20"/>
                <w:szCs w:val="20"/>
              </w:rPr>
              <w:t>_s1</w:t>
            </w:r>
            <w:r>
              <w:rPr>
                <w:rFonts w:hint="eastAsia" w:ascii="Times New Roman" w:hAnsi="Times New Roman" w:eastAsia="宋体"/>
                <w:sz w:val="20"/>
                <w:szCs w:val="20"/>
              </w:rPr>
              <w:t xml:space="preserve"> fields X</w:t>
            </w:r>
            <w:r>
              <w:rPr>
                <w:rFonts w:hint="eastAsia" w:ascii="Times New Roman" w:hAnsi="Times New Roman" w:eastAsia="宋体"/>
                <w:sz w:val="20"/>
                <w:szCs w:val="20"/>
                <w:vertAlign w:val="subscript"/>
              </w:rPr>
              <w:t>2</w:t>
            </w:r>
            <w:r>
              <w:rPr>
                <w:rFonts w:ascii="Times New Roman" w:hAnsi="Times New Roman" w:eastAsia="Batang"/>
                <w:sz w:val="20"/>
                <w:szCs w:val="20"/>
                <w:lang w:val="en-GB"/>
              </w:rPr>
              <w:t xml:space="preserve"> of all even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6397" w:type="dxa"/>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Subband differential CQI</w:t>
            </w:r>
            <w:r>
              <w:rPr>
                <w:rFonts w:hint="eastAsia" w:ascii="Times New Roman" w:hAnsi="Times New Roman" w:eastAsia="宋体"/>
                <w:bCs/>
                <w:sz w:val="20"/>
                <w:szCs w:val="20"/>
              </w:rPr>
              <w:t>_s1</w:t>
            </w:r>
            <w:r>
              <w:rPr>
                <w:rFonts w:ascii="Times New Roman" w:hAnsi="Times New Roman" w:eastAsia="Batang"/>
                <w:sz w:val="20"/>
                <w:szCs w:val="20"/>
                <w:lang w:val="en-GB"/>
              </w:rPr>
              <w:t xml:space="preserve"> for the second TB of all </w:t>
            </w:r>
            <w:r>
              <w:rPr>
                <w:rFonts w:ascii="Times New Roman" w:hAnsi="Times New Roman" w:eastAsia="Batang"/>
                <w:sz w:val="20"/>
                <w:szCs w:val="20"/>
              </w:rPr>
              <w:t>odd</w:t>
            </w:r>
            <w:r>
              <w:rPr>
                <w:rFonts w:ascii="Times New Roman" w:hAnsi="Times New Roman" w:eastAsia="Batang"/>
                <w:sz w:val="20"/>
                <w:szCs w:val="20"/>
                <w:lang w:val="en-GB"/>
              </w:rPr>
              <w:t xml:space="preserve">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shd w:val="clear" w:color="auto" w:fill="92D05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rPr>
            </w:pPr>
          </w:p>
        </w:tc>
        <w:tc>
          <w:tcPr>
            <w:tcW w:w="6397" w:type="dxa"/>
            <w:shd w:val="clear" w:color="auto" w:fill="92D05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rPr>
              <w:t>Sub</w:t>
            </w:r>
            <w:r>
              <w:rPr>
                <w:rFonts w:ascii="Times New Roman" w:hAnsi="Times New Roman" w:eastAsia="Batang"/>
                <w:sz w:val="20"/>
                <w:szCs w:val="20"/>
                <w:lang w:val="en-GB"/>
              </w:rPr>
              <w:t>band</w:t>
            </w:r>
            <w:r>
              <w:rPr>
                <w:rFonts w:ascii="Times New Roman" w:hAnsi="Times New Roman" w:eastAsia="Batang"/>
                <w:sz w:val="20"/>
                <w:szCs w:val="20"/>
              </w:rPr>
              <w:t xml:space="preserve"> PMI</w:t>
            </w:r>
            <w:r>
              <w:rPr>
                <w:rFonts w:hint="eastAsia" w:ascii="Times New Roman" w:hAnsi="Times New Roman" w:eastAsia="宋体"/>
                <w:bCs/>
                <w:sz w:val="20"/>
                <w:szCs w:val="20"/>
              </w:rPr>
              <w:t>_s1</w:t>
            </w:r>
            <w:r>
              <w:rPr>
                <w:rFonts w:hint="eastAsia" w:ascii="Times New Roman" w:hAnsi="Times New Roman" w:eastAsia="宋体"/>
                <w:sz w:val="20"/>
                <w:szCs w:val="20"/>
              </w:rPr>
              <w:t xml:space="preserve"> fields X</w:t>
            </w:r>
            <w:r>
              <w:rPr>
                <w:rFonts w:hint="eastAsia" w:ascii="Times New Roman" w:hAnsi="Times New Roman" w:eastAsia="宋体"/>
                <w:sz w:val="20"/>
                <w:szCs w:val="20"/>
                <w:vertAlign w:val="subscript"/>
              </w:rPr>
              <w:t>2</w:t>
            </w:r>
            <w:r>
              <w:rPr>
                <w:rFonts w:ascii="Times New Roman" w:hAnsi="Times New Roman" w:eastAsia="Batang"/>
                <w:sz w:val="20"/>
                <w:szCs w:val="20"/>
                <w:lang w:val="en-GB"/>
              </w:rPr>
              <w:t xml:space="preserve"> of all </w:t>
            </w:r>
            <w:r>
              <w:rPr>
                <w:rFonts w:ascii="Times New Roman" w:hAnsi="Times New Roman" w:eastAsia="Batang"/>
                <w:sz w:val="20"/>
                <w:szCs w:val="20"/>
              </w:rPr>
              <w:t>odd</w:t>
            </w:r>
            <w:r>
              <w:rPr>
                <w:rFonts w:ascii="Times New Roman" w:hAnsi="Times New Roman" w:eastAsia="Batang"/>
                <w:sz w:val="20"/>
                <w:szCs w:val="20"/>
                <w:lang w:val="en-GB"/>
              </w:rPr>
              <w:t xml:space="preserve">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restart"/>
            <w:shd w:val="clear" w:color="auto" w:fill="FFFF00"/>
            <w:vAlign w:val="center"/>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r>
              <w:rPr>
                <w:rFonts w:hint="eastAsia" w:ascii="Times New Roman" w:hAnsi="Times New Roman"/>
                <w:bCs/>
                <w:sz w:val="20"/>
                <w:szCs w:val="20"/>
              </w:rPr>
              <w:t>F</w:t>
            </w:r>
            <w:r>
              <w:rPr>
                <w:rFonts w:ascii="Times New Roman" w:hAnsi="Times New Roman"/>
                <w:bCs/>
                <w:sz w:val="20"/>
                <w:szCs w:val="20"/>
              </w:rPr>
              <w:t>or 2</w:t>
            </w:r>
            <w:r>
              <w:rPr>
                <w:rFonts w:ascii="Times New Roman" w:hAnsi="Times New Roman"/>
                <w:bCs/>
                <w:sz w:val="20"/>
                <w:szCs w:val="20"/>
                <w:vertAlign w:val="superscript"/>
              </w:rPr>
              <w:t>nd</w:t>
            </w:r>
            <w:r>
              <w:rPr>
                <w:rFonts w:ascii="Times New Roman" w:hAnsi="Times New Roman"/>
                <w:bCs/>
                <w:sz w:val="20"/>
                <w:szCs w:val="20"/>
              </w:rPr>
              <w:t xml:space="preserve"> TRP</w:t>
            </w:r>
          </w:p>
        </w:tc>
        <w:tc>
          <w:tcPr>
            <w:tcW w:w="6397" w:type="dxa"/>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Subband differential CQI</w:t>
            </w:r>
            <w:r>
              <w:rPr>
                <w:rFonts w:hint="eastAsia" w:ascii="Times New Roman" w:hAnsi="Times New Roman" w:eastAsia="宋体"/>
                <w:bCs/>
                <w:sz w:val="20"/>
                <w:szCs w:val="20"/>
              </w:rPr>
              <w:t>_s2</w:t>
            </w:r>
            <w:r>
              <w:rPr>
                <w:rFonts w:ascii="Times New Roman" w:hAnsi="Times New Roman" w:eastAsia="Batang"/>
                <w:sz w:val="20"/>
                <w:szCs w:val="20"/>
                <w:lang w:val="en-GB"/>
              </w:rPr>
              <w:t xml:space="preserve"> for the second TB of all even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Batang"/>
                <w:sz w:val="20"/>
                <w:szCs w:val="20"/>
              </w:rPr>
            </w:pPr>
          </w:p>
        </w:tc>
        <w:tc>
          <w:tcPr>
            <w:tcW w:w="6397" w:type="dxa"/>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rPr>
              <w:t>Sub</w:t>
            </w:r>
            <w:r>
              <w:rPr>
                <w:rFonts w:ascii="Times New Roman" w:hAnsi="Times New Roman" w:eastAsia="Batang"/>
                <w:sz w:val="20"/>
                <w:szCs w:val="20"/>
                <w:lang w:val="en-GB"/>
              </w:rPr>
              <w:t>band</w:t>
            </w:r>
            <w:r>
              <w:rPr>
                <w:rFonts w:ascii="Times New Roman" w:hAnsi="Times New Roman" w:eastAsia="Batang"/>
                <w:sz w:val="20"/>
                <w:szCs w:val="20"/>
              </w:rPr>
              <w:t xml:space="preserve"> PMI</w:t>
            </w:r>
            <w:r>
              <w:rPr>
                <w:rFonts w:hint="eastAsia" w:ascii="Times New Roman" w:hAnsi="Times New Roman" w:eastAsia="宋体"/>
                <w:bCs/>
                <w:sz w:val="20"/>
                <w:szCs w:val="20"/>
              </w:rPr>
              <w:t>_s2</w:t>
            </w:r>
            <w:r>
              <w:rPr>
                <w:rFonts w:hint="eastAsia" w:ascii="Times New Roman" w:hAnsi="Times New Roman" w:eastAsia="宋体"/>
                <w:sz w:val="20"/>
                <w:szCs w:val="20"/>
              </w:rPr>
              <w:t xml:space="preserve"> fields X</w:t>
            </w:r>
            <w:r>
              <w:rPr>
                <w:rFonts w:hint="eastAsia" w:ascii="Times New Roman" w:hAnsi="Times New Roman" w:eastAsia="宋体"/>
                <w:sz w:val="20"/>
                <w:szCs w:val="20"/>
                <w:vertAlign w:val="subscript"/>
              </w:rPr>
              <w:t>2</w:t>
            </w:r>
            <w:r>
              <w:rPr>
                <w:rFonts w:ascii="Times New Roman" w:hAnsi="Times New Roman" w:eastAsia="Batang"/>
                <w:sz w:val="20"/>
                <w:szCs w:val="20"/>
                <w:lang w:val="en-GB"/>
              </w:rPr>
              <w:t xml:space="preserve"> all even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Batang"/>
                <w:sz w:val="20"/>
                <w:szCs w:val="20"/>
                <w:lang w:val="en-GB"/>
              </w:rPr>
            </w:pPr>
          </w:p>
        </w:tc>
        <w:tc>
          <w:tcPr>
            <w:tcW w:w="6397" w:type="dxa"/>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lang w:val="en-GB"/>
              </w:rPr>
              <w:t>Subband differential CQI</w:t>
            </w:r>
            <w:r>
              <w:rPr>
                <w:rFonts w:hint="eastAsia" w:ascii="Times New Roman" w:hAnsi="Times New Roman" w:eastAsia="宋体"/>
                <w:bCs/>
                <w:sz w:val="20"/>
                <w:szCs w:val="20"/>
              </w:rPr>
              <w:t>_s2</w:t>
            </w:r>
            <w:r>
              <w:rPr>
                <w:rFonts w:ascii="Times New Roman" w:hAnsi="Times New Roman" w:eastAsia="Batang"/>
                <w:sz w:val="20"/>
                <w:szCs w:val="20"/>
                <w:lang w:val="en-GB"/>
              </w:rPr>
              <w:t xml:space="preserve"> for the second TB of all </w:t>
            </w:r>
            <w:r>
              <w:rPr>
                <w:rFonts w:ascii="Times New Roman" w:hAnsi="Times New Roman" w:eastAsia="Batang"/>
                <w:sz w:val="20"/>
                <w:szCs w:val="20"/>
              </w:rPr>
              <w:t>odd</w:t>
            </w:r>
            <w:r>
              <w:rPr>
                <w:rFonts w:ascii="Times New Roman" w:hAnsi="Times New Roman" w:eastAsia="Batang"/>
                <w:sz w:val="20"/>
                <w:szCs w:val="20"/>
                <w:lang w:val="en-GB"/>
              </w:rPr>
              <w:t xml:space="preserve"> subbands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vMerge w:val="continue"/>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Batang"/>
                <w:sz w:val="20"/>
                <w:szCs w:val="20"/>
              </w:rPr>
            </w:pPr>
          </w:p>
        </w:tc>
        <w:tc>
          <w:tcPr>
            <w:tcW w:w="6397" w:type="dxa"/>
            <w:shd w:val="clear" w:color="auto" w:fill="FFFF00"/>
          </w:tcPr>
          <w:p>
            <w:pPr>
              <w:widowControl w:val="0"/>
              <w:adjustRightInd w:val="0"/>
              <w:snapToGrid w:val="0"/>
              <w:spacing w:before="50" w:after="50" w:line="240" w:lineRule="auto"/>
              <w:ind w:firstLine="400" w:firstLineChars="200"/>
              <w:jc w:val="both"/>
              <w:rPr>
                <w:rFonts w:ascii="Times New Roman" w:hAnsi="Times New Roman" w:eastAsia="宋体"/>
                <w:bCs/>
                <w:kern w:val="2"/>
                <w:sz w:val="20"/>
                <w:szCs w:val="20"/>
              </w:rPr>
            </w:pPr>
            <w:r>
              <w:rPr>
                <w:rFonts w:ascii="Times New Roman" w:hAnsi="Times New Roman" w:eastAsia="Batang"/>
                <w:sz w:val="20"/>
                <w:szCs w:val="20"/>
              </w:rPr>
              <w:t>Sub</w:t>
            </w:r>
            <w:r>
              <w:rPr>
                <w:rFonts w:ascii="Times New Roman" w:hAnsi="Times New Roman" w:eastAsia="Batang"/>
                <w:sz w:val="20"/>
                <w:szCs w:val="20"/>
                <w:lang w:val="en-GB"/>
              </w:rPr>
              <w:t>band</w:t>
            </w:r>
            <w:r>
              <w:rPr>
                <w:rFonts w:ascii="Times New Roman" w:hAnsi="Times New Roman" w:eastAsia="Batang"/>
                <w:sz w:val="20"/>
                <w:szCs w:val="20"/>
              </w:rPr>
              <w:t xml:space="preserve"> PMI</w:t>
            </w:r>
            <w:r>
              <w:rPr>
                <w:rFonts w:hint="eastAsia" w:ascii="Times New Roman" w:hAnsi="Times New Roman" w:eastAsia="宋体"/>
                <w:bCs/>
                <w:sz w:val="20"/>
                <w:szCs w:val="20"/>
              </w:rPr>
              <w:t>_s2</w:t>
            </w:r>
            <w:r>
              <w:rPr>
                <w:rFonts w:hint="eastAsia" w:ascii="Times New Roman" w:hAnsi="Times New Roman" w:eastAsia="宋体"/>
                <w:sz w:val="20"/>
                <w:szCs w:val="20"/>
              </w:rPr>
              <w:t xml:space="preserve"> fields X</w:t>
            </w:r>
            <w:r>
              <w:rPr>
                <w:rFonts w:hint="eastAsia" w:ascii="Times New Roman" w:hAnsi="Times New Roman" w:eastAsia="宋体"/>
                <w:sz w:val="20"/>
                <w:szCs w:val="20"/>
                <w:vertAlign w:val="subscript"/>
              </w:rPr>
              <w:t>2</w:t>
            </w:r>
            <w:r>
              <w:rPr>
                <w:rFonts w:ascii="Times New Roman" w:hAnsi="Times New Roman" w:eastAsia="Batang"/>
                <w:sz w:val="20"/>
                <w:szCs w:val="20"/>
                <w:lang w:val="en-GB"/>
              </w:rPr>
              <w:t xml:space="preserve"> of all </w:t>
            </w:r>
            <w:r>
              <w:rPr>
                <w:rFonts w:ascii="Times New Roman" w:hAnsi="Times New Roman" w:eastAsia="Batang"/>
                <w:sz w:val="20"/>
                <w:szCs w:val="20"/>
              </w:rPr>
              <w:t>odd</w:t>
            </w:r>
            <w:r>
              <w:rPr>
                <w:rFonts w:ascii="Times New Roman" w:hAnsi="Times New Roman" w:eastAsia="Batang"/>
                <w:sz w:val="20"/>
                <w:szCs w:val="20"/>
                <w:lang w:val="en-GB"/>
              </w:rPr>
              <w:t xml:space="preserve"> subbands</w:t>
            </w:r>
          </w:p>
        </w:tc>
      </w:tr>
    </w:tbl>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Currently, when </w:t>
      </w:r>
      <w:r>
        <w:rPr>
          <w:rFonts w:ascii="Times New Roman" w:hAnsi="Times New Roman"/>
          <w:sz w:val="20"/>
          <w:szCs w:val="20"/>
        </w:rPr>
        <w:t>CSI reporting on PUSCH or PUCCH comprises two parts, the UE may omit a portion of the Part 2 CSI when there is not sufficient PUSCH resources to transmit the whole Part 2. Omission of part 2 CSI is according to the priority order shown in Table 5.2.3-1 in 38.214.</w:t>
      </w:r>
      <w:r>
        <w:rPr>
          <w:rFonts w:hint="eastAsia" w:ascii="Times New Roman" w:hAnsi="Times New Roman"/>
          <w:sz w:val="20"/>
          <w:szCs w:val="20"/>
        </w:rPr>
        <w:t xml:space="preserve"> However, for NCJT CSI report Option 1</w:t>
      </w:r>
      <w:r>
        <w:rPr>
          <w:rFonts w:hint="eastAsia" w:ascii="Times New Roman" w:hAnsi="Times New Roman" w:eastAsia="宋体"/>
          <w:iCs/>
          <w:sz w:val="20"/>
          <w:szCs w:val="20"/>
        </w:rPr>
        <w:t xml:space="preserve">, UE is expected to </w:t>
      </w:r>
      <w:r>
        <w:rPr>
          <w:rFonts w:ascii="Times New Roman" w:hAnsi="Times New Roman" w:eastAsia="Batang"/>
          <w:color w:val="000000"/>
          <w:sz w:val="20"/>
          <w:lang w:val="en-GB" w:eastAsia="en-US"/>
        </w:rPr>
        <w:t>report X sets of CSI</w:t>
      </w:r>
      <w:r>
        <w:rPr>
          <w:rFonts w:hint="eastAsia" w:ascii="Times New Roman" w:hAnsi="Times New Roman" w:eastAsia="宋体"/>
          <w:color w:val="000000"/>
          <w:sz w:val="20"/>
        </w:rPr>
        <w:t xml:space="preserve"> </w:t>
      </w:r>
      <w:r>
        <w:rPr>
          <w:rFonts w:ascii="Times New Roman" w:hAnsi="Times New Roman" w:eastAsia="Batang"/>
          <w:color w:val="000000"/>
          <w:sz w:val="20"/>
          <w:lang w:val="en-GB" w:eastAsia="en-US"/>
        </w:rPr>
        <w:t xml:space="preserve">hypotheses associated with </w:t>
      </w:r>
      <w:r>
        <w:rPr>
          <w:rFonts w:ascii="Times New Roman" w:hAnsi="Times New Roman" w:eastAsia="宋体"/>
          <w:color w:val="000000"/>
          <w:sz w:val="20"/>
        </w:rPr>
        <w:t>s</w:t>
      </w:r>
      <w:r>
        <w:rPr>
          <w:rFonts w:ascii="Times New Roman" w:hAnsi="Times New Roman" w:eastAsia="Batang"/>
          <w:color w:val="000000"/>
          <w:sz w:val="20"/>
          <w:lang w:val="en-GB" w:eastAsia="en-US"/>
        </w:rPr>
        <w:t>ingle-TRP measurement and one CSI hypothesis</w:t>
      </w:r>
      <w:r>
        <w:rPr>
          <w:rFonts w:hint="eastAsia" w:ascii="Times New Roman" w:hAnsi="Times New Roman" w:eastAsia="宋体"/>
          <w:color w:val="000000"/>
          <w:sz w:val="20"/>
        </w:rPr>
        <w:t xml:space="preserve"> </w:t>
      </w:r>
      <w:r>
        <w:rPr>
          <w:rFonts w:ascii="Times New Roman" w:hAnsi="Times New Roman" w:eastAsia="Batang"/>
          <w:color w:val="000000"/>
          <w:sz w:val="20"/>
          <w:lang w:val="en-GB" w:eastAsia="en-US"/>
        </w:rPr>
        <w:t>associated with NCJT measurement</w:t>
      </w:r>
      <w:r>
        <w:rPr>
          <w:rFonts w:hint="eastAsia" w:ascii="Times New Roman" w:hAnsi="Times New Roman" w:eastAsia="宋体"/>
          <w:color w:val="000000"/>
          <w:sz w:val="20"/>
        </w:rPr>
        <w:t xml:space="preserve">. </w:t>
      </w:r>
      <w:r>
        <w:rPr>
          <w:rFonts w:ascii="Times New Roman" w:hAnsi="Times New Roman" w:eastAsia="宋体"/>
          <w:sz w:val="20"/>
          <w:szCs w:val="20"/>
        </w:rPr>
        <w:t xml:space="preserve">Whether to update the omission rule should be discussed. That’s because the </w:t>
      </w:r>
      <w:r>
        <w:rPr>
          <w:rFonts w:ascii="Times New Roman" w:hAnsi="Times New Roman" w:eastAsia="宋体"/>
          <w:iCs/>
          <w:sz w:val="20"/>
          <w:szCs w:val="20"/>
        </w:rPr>
        <w:t xml:space="preserve">X+1 sets of CSI have the same priority and may be omitted together if we </w:t>
      </w:r>
      <w:r>
        <w:rPr>
          <w:rFonts w:hint="eastAsia" w:ascii="Times New Roman" w:hAnsi="Times New Roman" w:eastAsia="宋体"/>
          <w:iCs/>
          <w:sz w:val="20"/>
          <w:szCs w:val="20"/>
        </w:rPr>
        <w:t xml:space="preserve">reuse </w:t>
      </w:r>
      <w:r>
        <w:rPr>
          <w:rFonts w:ascii="Times New Roman" w:hAnsi="Times New Roman" w:eastAsia="宋体"/>
          <w:sz w:val="20"/>
          <w:szCs w:val="20"/>
        </w:rPr>
        <w:t xml:space="preserve">the </w:t>
      </w:r>
      <w:r>
        <w:rPr>
          <w:rFonts w:hint="eastAsia" w:ascii="Times New Roman" w:hAnsi="Times New Roman" w:eastAsia="宋体"/>
          <w:sz w:val="20"/>
          <w:szCs w:val="20"/>
        </w:rPr>
        <w:t xml:space="preserve">existing </w:t>
      </w:r>
      <w:r>
        <w:rPr>
          <w:rFonts w:ascii="Times New Roman" w:hAnsi="Times New Roman"/>
          <w:sz w:val="20"/>
          <w:szCs w:val="20"/>
        </w:rPr>
        <w:t xml:space="preserve">Table 5.2.3-1 for UCI omission in NCJT CSI report. </w:t>
      </w:r>
    </w:p>
    <w:p>
      <w:pPr>
        <w:adjustRightInd w:val="0"/>
        <w:snapToGrid w:val="0"/>
        <w:spacing w:before="180" w:beforeLines="50" w:after="180" w:afterLines="50" w:line="240" w:lineRule="auto"/>
        <w:jc w:val="both"/>
        <w:rPr>
          <w:rFonts w:ascii="Times New Roman" w:hAnsi="Times New Roman" w:eastAsia="Batang"/>
          <w:bCs/>
          <w:iCs/>
          <w:sz w:val="20"/>
          <w:szCs w:val="20"/>
          <w:lang w:val="en-GB" w:eastAsia="ko-KR"/>
        </w:rPr>
      </w:pPr>
      <w:r>
        <w:rPr>
          <w:rFonts w:ascii="Times New Roman" w:hAnsi="Times New Roman"/>
          <w:sz w:val="20"/>
          <w:szCs w:val="20"/>
        </w:rPr>
        <w:t xml:space="preserve">Two aspects have been discussion on the issue of CSI omission and priority rules. The first is whether the </w:t>
      </w:r>
      <w:r>
        <w:rPr>
          <w:rFonts w:ascii="Times New Roman" w:hAnsi="Times New Roman" w:eastAsia="宋体"/>
          <w:sz w:val="20"/>
          <w:szCs w:val="20"/>
        </w:rPr>
        <w:t>calculation formulation</w:t>
      </w:r>
      <w:r>
        <w:rPr>
          <w:rFonts w:ascii="Times New Roman" w:hAnsi="Times New Roman" w:eastAsia="Batang"/>
          <w:bCs/>
          <w:sz w:val="20"/>
          <w:szCs w:val="20"/>
          <w:lang w:val="en-GB" w:eastAsia="ko-KR"/>
        </w:rPr>
        <w:t xml:space="preserve"> </w:t>
      </w:r>
      <m:oMath>
        <m:sSub>
          <m:sSubPr>
            <m:ctrlPr>
              <w:rPr>
                <w:rFonts w:ascii="Cambria Math" w:hAnsi="Cambria Math"/>
                <w:bCs/>
                <w:i/>
                <w:iCs/>
                <w:sz w:val="20"/>
                <w:szCs w:val="20"/>
                <w:lang w:eastAsia="ko-KR"/>
              </w:rPr>
            </m:ctrlPr>
          </m:sSubPr>
          <m:e>
            <m:r>
              <m:rPr>
                <m:sty m:val="p"/>
              </m:rPr>
              <w:rPr>
                <w:rFonts w:ascii="Cambria Math" w:hAnsi="Cambria Math"/>
                <w:sz w:val="20"/>
                <w:szCs w:val="20"/>
                <w:lang w:eastAsia="ko-KR"/>
              </w:rPr>
              <m:t>Pri</m:t>
            </m:r>
            <m:ctrlPr>
              <w:rPr>
                <w:rFonts w:ascii="Cambria Math" w:hAnsi="Cambria Math"/>
                <w:bCs/>
                <w:i/>
                <w:iCs/>
                <w:sz w:val="20"/>
                <w:szCs w:val="20"/>
                <w:lang w:eastAsia="ko-KR"/>
              </w:rPr>
            </m:ctrlPr>
          </m:e>
          <m:sub>
            <m:r>
              <w:rPr>
                <w:rFonts w:ascii="Cambria Math" w:hAnsi="Cambria Math"/>
                <w:sz w:val="20"/>
                <w:szCs w:val="20"/>
                <w:lang w:eastAsia="ko-KR"/>
              </w:rPr>
              <m:t>iCSI</m:t>
            </m:r>
            <m:ctrlPr>
              <w:rPr>
                <w:rFonts w:ascii="Cambria Math" w:hAnsi="Cambria Math"/>
                <w:bCs/>
                <w:i/>
                <w:iCs/>
                <w:sz w:val="20"/>
                <w:szCs w:val="20"/>
                <w:lang w:eastAsia="ko-KR"/>
              </w:rPr>
            </m:ctrlPr>
          </m:sub>
        </m:sSub>
        <m:d>
          <m:dPr>
            <m:ctrlPr>
              <w:rPr>
                <w:rFonts w:ascii="Cambria Math" w:hAnsi="Cambria Math"/>
                <w:bCs/>
                <w:i/>
                <w:iCs/>
                <w:sz w:val="20"/>
                <w:szCs w:val="20"/>
                <w:lang w:eastAsia="ko-KR"/>
              </w:rPr>
            </m:ctrlPr>
          </m:dPr>
          <m:e>
            <m:r>
              <w:rPr>
                <w:rFonts w:ascii="Cambria Math" w:hAnsi="Cambria Math"/>
                <w:sz w:val="20"/>
                <w:szCs w:val="20"/>
                <w:lang w:eastAsia="ko-KR"/>
              </w:rPr>
              <m:t>y,k,c,s</m:t>
            </m:r>
            <m:ctrlPr>
              <w:rPr>
                <w:rFonts w:ascii="Cambria Math" w:hAnsi="Cambria Math"/>
                <w:bCs/>
                <w:i/>
                <w:iCs/>
                <w:sz w:val="20"/>
                <w:szCs w:val="20"/>
                <w:lang w:eastAsia="ko-KR"/>
              </w:rPr>
            </m:ctrlPr>
          </m:e>
        </m:d>
      </m:oMath>
      <w:r>
        <w:rPr>
          <w:rFonts w:hint="eastAsia" w:ascii="Times New Roman" w:hAnsi="Times New Roman"/>
          <w:bCs/>
          <w:iCs/>
          <w:sz w:val="20"/>
          <w:szCs w:val="20"/>
        </w:rPr>
        <w:t>,</w:t>
      </w:r>
      <w:r>
        <w:rPr>
          <w:rFonts w:ascii="Times New Roman" w:hAnsi="Times New Roman" w:eastAsia="宋体"/>
          <w:sz w:val="20"/>
          <w:szCs w:val="20"/>
        </w:rPr>
        <w:t xml:space="preserve"> described in section 5.2.5 of 38.214 as follows, should be revised for NCJT CSI reporting. In the Pri equation,</w:t>
      </w:r>
      <w:r>
        <w:rPr>
          <w:rFonts w:ascii="Times New Roman" w:hAnsi="Times New Roman" w:eastAsia="Batang"/>
          <w:bCs/>
          <w:iCs/>
          <w:sz w:val="20"/>
          <w:szCs w:val="20"/>
          <w:lang w:val="en-GB" w:eastAsia="ko-KR"/>
        </w:rPr>
        <w:t xml:space="preserve"> </w:t>
      </w:r>
      <m:oMath>
        <m:r>
          <w:rPr>
            <w:rFonts w:ascii="Cambria Math" w:hAnsi="Cambria Math"/>
            <w:sz w:val="20"/>
            <w:szCs w:val="20"/>
            <w:lang w:eastAsia="ko-KR"/>
          </w:rPr>
          <m:t>y</m:t>
        </m:r>
      </m:oMath>
      <w:r>
        <w:rPr>
          <w:rFonts w:ascii="Times New Roman" w:hAnsi="Times New Roman" w:eastAsia="Batang"/>
          <w:bCs/>
          <w:iCs/>
          <w:sz w:val="20"/>
          <w:szCs w:val="20"/>
          <w:lang w:val="en-GB" w:eastAsia="ko-KR"/>
        </w:rPr>
        <w:t xml:space="preserve"> represents the CSI type (AP/SP/P CSI report), </w:t>
      </w:r>
      <m:oMath>
        <m:r>
          <w:rPr>
            <w:rFonts w:ascii="Cambria Math" w:hAnsi="Cambria Math"/>
            <w:sz w:val="20"/>
            <w:szCs w:val="20"/>
            <w:lang w:eastAsia="ko-KR"/>
          </w:rPr>
          <m:t>k</m:t>
        </m:r>
      </m:oMath>
      <w:r>
        <w:rPr>
          <w:rFonts w:ascii="Times New Roman" w:hAnsi="Times New Roman" w:eastAsia="Batang"/>
          <w:bCs/>
          <w:iCs/>
          <w:sz w:val="20"/>
          <w:szCs w:val="20"/>
          <w:lang w:val="en-GB" w:eastAsia="ko-KR"/>
        </w:rPr>
        <w:t xml:space="preserve"> corresponds to whether CSI report carries L1-RSRP / L1-SINR or not, </w:t>
      </w:r>
      <m:oMath>
        <m:r>
          <w:rPr>
            <w:rFonts w:ascii="Cambria Math" w:hAnsi="Cambria Math"/>
            <w:sz w:val="20"/>
            <w:szCs w:val="20"/>
            <w:lang w:eastAsia="ko-KR"/>
          </w:rPr>
          <m:t>c</m:t>
        </m:r>
      </m:oMath>
      <w:r>
        <w:rPr>
          <w:rFonts w:ascii="Times New Roman" w:hAnsi="Times New Roman" w:eastAsia="Batang"/>
          <w:bCs/>
          <w:iCs/>
          <w:sz w:val="20"/>
          <w:szCs w:val="20"/>
          <w:lang w:val="en-GB" w:eastAsia="ko-KR"/>
        </w:rPr>
        <w:t xml:space="preserve"> is the CC index, and </w:t>
      </w:r>
      <m:oMath>
        <m:r>
          <w:rPr>
            <w:rFonts w:ascii="Cambria Math" w:hAnsi="Cambria Math"/>
            <w:sz w:val="20"/>
            <w:szCs w:val="20"/>
            <w:lang w:eastAsia="ko-KR"/>
          </w:rPr>
          <m:t>s</m:t>
        </m:r>
      </m:oMath>
      <w:r>
        <w:rPr>
          <w:rFonts w:ascii="Times New Roman" w:hAnsi="Times New Roman" w:eastAsia="Batang"/>
          <w:bCs/>
          <w:iCs/>
          <w:sz w:val="20"/>
          <w:szCs w:val="20"/>
          <w:lang w:val="en-GB" w:eastAsia="ko-KR"/>
        </w:rPr>
        <w:t xml:space="preserve"> is the</w:t>
      </w:r>
      <w:r>
        <w:rPr>
          <w:rFonts w:hint="eastAsia" w:ascii="Times New Roman" w:hAnsi="Times New Roman" w:eastAsia="宋体"/>
          <w:bCs/>
          <w:iCs/>
          <w:sz w:val="20"/>
          <w:szCs w:val="20"/>
        </w:rPr>
        <w:t xml:space="preserve"> ID of</w:t>
      </w:r>
      <w:r>
        <w:rPr>
          <w:rFonts w:ascii="Times New Roman" w:hAnsi="Times New Roman" w:eastAsia="Batang"/>
          <w:bCs/>
          <w:iCs/>
          <w:sz w:val="20"/>
          <w:szCs w:val="20"/>
          <w:lang w:val="en-GB" w:eastAsia="ko-KR"/>
        </w:rPr>
        <w:t xml:space="preserve"> </w:t>
      </w:r>
      <w:r>
        <w:rPr>
          <w:rFonts w:ascii="Times New Roman" w:hAnsi="Times New Roman" w:eastAsia="Batang"/>
          <w:bCs/>
          <w:i/>
          <w:sz w:val="20"/>
          <w:szCs w:val="20"/>
          <w:lang w:val="en-GB" w:eastAsia="ko-KR"/>
        </w:rPr>
        <w:t>reportConfig</w:t>
      </w:r>
      <w:r>
        <w:rPr>
          <w:rFonts w:ascii="Times New Roman" w:hAnsi="Times New Roman" w:eastAsia="Batang"/>
          <w:bCs/>
          <w:iCs/>
          <w:sz w:val="20"/>
          <w:szCs w:val="20"/>
          <w:lang w:val="en-GB" w:eastAsia="ko-KR"/>
        </w:rPr>
        <w:t xml:space="preserve">.   </w:t>
      </w:r>
    </w:p>
    <w:p>
      <w:pPr>
        <w:adjustRightInd w:val="0"/>
        <w:snapToGrid w:val="0"/>
        <w:spacing w:before="180" w:beforeLines="50" w:after="180" w:afterLines="50" w:line="240" w:lineRule="auto"/>
        <w:jc w:val="center"/>
        <w:rPr>
          <w:rFonts w:ascii="Times New Roman" w:hAnsi="Times New Roman" w:eastAsia="宋体"/>
          <w:sz w:val="24"/>
          <w:szCs w:val="24"/>
        </w:rPr>
      </w:pPr>
      <w:r>
        <w:rPr>
          <w:rFonts w:ascii="Times New Roman" w:hAnsi="Times New Roman" w:eastAsia="Batang"/>
          <w:bCs/>
          <w:i/>
          <w:iCs/>
          <w:position w:val="-12"/>
          <w:sz w:val="20"/>
          <w:szCs w:val="20"/>
        </w:rPr>
        <w:object>
          <v:shape id="_x0000_i1027" o:spt="75" type="#_x0000_t75" style="height:20.4pt;width:236.4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p>
    <w:p>
      <w:pPr>
        <w:snapToGrid w:val="0"/>
        <w:spacing w:before="180" w:beforeLines="50" w:after="180" w:afterLines="50" w:line="240" w:lineRule="auto"/>
        <w:jc w:val="both"/>
        <w:rPr>
          <w:rFonts w:ascii="Times New Roman" w:hAnsi="Times New Roman" w:eastAsia="宋体"/>
          <w:bCs/>
          <w:iCs/>
          <w:sz w:val="20"/>
          <w:szCs w:val="20"/>
        </w:rPr>
      </w:pPr>
      <w:r>
        <w:rPr>
          <w:rFonts w:ascii="Times New Roman" w:hAnsi="Times New Roman" w:eastAsia="宋体"/>
          <w:bCs/>
          <w:iCs/>
          <w:sz w:val="20"/>
          <w:szCs w:val="20"/>
        </w:rPr>
        <w:t>For handling CSI collision between two CSI reports where the CSI report with lower priority may be dropped, we think the existing CSI priority formula is sufficient as there is no need to prioritize different CSI hypothesizes within the same CSI report. Hence there is no need to revise the Pri equation as the NCJT report should be a single report for multiple TRPs.</w:t>
      </w:r>
    </w:p>
    <w:p>
      <w:pPr>
        <w:snapToGrid w:val="0"/>
        <w:spacing w:before="180" w:beforeLines="50" w:after="180" w:afterLines="50" w:line="240" w:lineRule="auto"/>
        <w:jc w:val="both"/>
        <w:rPr>
          <w:rFonts w:ascii="Times New Roman" w:hAnsi="Times New Roman"/>
          <w:bCs/>
          <w:i/>
          <w:sz w:val="20"/>
          <w:szCs w:val="20"/>
        </w:rPr>
      </w:pPr>
      <w:r>
        <w:rPr>
          <w:rFonts w:hint="eastAsia" w:ascii="Times New Roman" w:hAnsi="Times New Roman"/>
          <w:b/>
          <w:i/>
          <w:sz w:val="20"/>
          <w:szCs w:val="20"/>
        </w:rPr>
        <w:t>Proposal 6:</w:t>
      </w:r>
      <w:r>
        <w:rPr>
          <w:rFonts w:hint="eastAsia" w:ascii="Times New Roman" w:hAnsi="Times New Roman"/>
          <w:bCs/>
          <w:i/>
          <w:sz w:val="20"/>
          <w:szCs w:val="20"/>
        </w:rPr>
        <w:t xml:space="preserve"> Do NOT modify priority equation in section 5.2.5 in 38.214.</w:t>
      </w:r>
    </w:p>
    <w:p>
      <w:pPr>
        <w:snapToGrid w:val="0"/>
        <w:spacing w:before="180" w:beforeLines="50" w:after="180" w:afterLines="50" w:line="240" w:lineRule="auto"/>
        <w:jc w:val="both"/>
        <w:rPr>
          <w:rFonts w:ascii="Times New Roman" w:hAnsi="Times New Roman"/>
          <w:bCs/>
          <w:iCs/>
          <w:sz w:val="20"/>
          <w:szCs w:val="20"/>
          <w:lang w:val="en-GB"/>
        </w:rPr>
      </w:pPr>
      <w:r>
        <w:rPr>
          <w:rFonts w:ascii="Times New Roman" w:hAnsi="Times New Roman"/>
          <w:bCs/>
          <w:iCs/>
          <w:sz w:val="20"/>
          <w:szCs w:val="20"/>
        </w:rPr>
        <w:t>The next issue is whether the CSI omission priority table should be revised.</w:t>
      </w:r>
      <w:r>
        <w:rPr>
          <w:rFonts w:hint="eastAsia" w:ascii="Times New Roman" w:hAnsi="Times New Roman"/>
          <w:bCs/>
          <w:iCs/>
          <w:sz w:val="20"/>
          <w:szCs w:val="20"/>
        </w:rPr>
        <w:t xml:space="preserve"> </w:t>
      </w:r>
      <w:r>
        <w:rPr>
          <w:rFonts w:ascii="Times New Roman" w:hAnsi="Times New Roman"/>
          <w:bCs/>
          <w:iCs/>
          <w:sz w:val="20"/>
          <w:szCs w:val="20"/>
        </w:rPr>
        <w:t>We think this table</w:t>
      </w:r>
      <w:r>
        <w:rPr>
          <w:rFonts w:hint="eastAsia" w:ascii="Times New Roman" w:hAnsi="Times New Roman"/>
          <w:bCs/>
          <w:iCs/>
          <w:sz w:val="20"/>
          <w:szCs w:val="20"/>
        </w:rPr>
        <w:t xml:space="preserve"> should be modified</w:t>
      </w:r>
      <w:r>
        <w:rPr>
          <w:rFonts w:ascii="Times New Roman" w:hAnsi="Times New Roman"/>
          <w:bCs/>
          <w:iCs/>
          <w:sz w:val="20"/>
          <w:szCs w:val="20"/>
          <w:lang w:val="en-GB"/>
        </w:rPr>
        <w:t xml:space="preserve">, </w:t>
      </w:r>
      <w:r>
        <w:rPr>
          <w:rFonts w:hint="eastAsia" w:ascii="Times New Roman" w:hAnsi="Times New Roman"/>
          <w:bCs/>
          <w:iCs/>
          <w:sz w:val="20"/>
          <w:szCs w:val="20"/>
        </w:rPr>
        <w:t xml:space="preserve">otherwise </w:t>
      </w:r>
      <w:r>
        <w:rPr>
          <w:rFonts w:ascii="Times New Roman" w:hAnsi="Times New Roman"/>
          <w:bCs/>
          <w:iCs/>
          <w:sz w:val="20"/>
          <w:szCs w:val="20"/>
          <w:lang w:val="en-GB"/>
        </w:rPr>
        <w:t xml:space="preserve">such rough granularity may overkill the MTRP CSI report </w:t>
      </w:r>
      <w:r>
        <w:rPr>
          <w:rFonts w:hint="eastAsia" w:ascii="Times New Roman" w:hAnsi="Times New Roman"/>
          <w:bCs/>
          <w:iCs/>
          <w:sz w:val="20"/>
          <w:szCs w:val="20"/>
        </w:rPr>
        <w:t>due to</w:t>
      </w:r>
      <w:r>
        <w:rPr>
          <w:rFonts w:ascii="Times New Roman" w:hAnsi="Times New Roman"/>
          <w:bCs/>
          <w:iCs/>
          <w:sz w:val="20"/>
          <w:szCs w:val="20"/>
          <w:lang w:val="en-GB"/>
        </w:rPr>
        <w:t xml:space="preserve"> X+1 sets </w:t>
      </w:r>
      <w:r>
        <w:rPr>
          <w:rFonts w:hint="eastAsia" w:ascii="Times New Roman" w:hAnsi="Times New Roman"/>
          <w:bCs/>
          <w:iCs/>
          <w:sz w:val="20"/>
          <w:szCs w:val="20"/>
          <w:lang w:val="en-GB"/>
        </w:rPr>
        <w:t>CS</w:t>
      </w:r>
      <w:r>
        <w:rPr>
          <w:rFonts w:ascii="Times New Roman" w:hAnsi="Times New Roman"/>
          <w:bCs/>
          <w:iCs/>
          <w:sz w:val="20"/>
          <w:szCs w:val="20"/>
          <w:lang w:val="en-GB"/>
        </w:rPr>
        <w:t xml:space="preserve">I </w:t>
      </w:r>
      <w:r>
        <w:rPr>
          <w:rFonts w:hint="eastAsia" w:ascii="Times New Roman" w:hAnsi="Times New Roman"/>
          <w:bCs/>
          <w:iCs/>
          <w:sz w:val="20"/>
          <w:szCs w:val="20"/>
        </w:rPr>
        <w:t>in the single CSI report</w:t>
      </w:r>
      <w:r>
        <w:rPr>
          <w:rFonts w:ascii="Times New Roman" w:hAnsi="Times New Roman"/>
          <w:bCs/>
          <w:iCs/>
          <w:sz w:val="20"/>
          <w:szCs w:val="20"/>
          <w:lang w:val="en-GB"/>
        </w:rPr>
        <w:t>.</w:t>
      </w:r>
    </w:p>
    <w:p>
      <w:pPr>
        <w:snapToGrid w:val="0"/>
        <w:spacing w:before="180" w:beforeLines="50" w:after="180" w:afterLines="50" w:line="240" w:lineRule="auto"/>
        <w:jc w:val="both"/>
        <w:rPr>
          <w:rFonts w:ascii="Times New Roman" w:hAnsi="Times New Roman" w:eastAsia="宋体"/>
          <w:sz w:val="20"/>
          <w:szCs w:val="20"/>
          <w:lang w:val="en-GB" w:eastAsia="en-US"/>
        </w:rPr>
      </w:pPr>
      <w:r>
        <w:rPr>
          <w:rFonts w:ascii="Times New Roman" w:hAnsi="Times New Roman" w:eastAsia="宋体"/>
          <w:bCs/>
          <w:iCs/>
          <w:sz w:val="20"/>
          <w:szCs w:val="20"/>
        </w:rPr>
        <w:t xml:space="preserve">In order to have a finer granularity for CSI omission in </w:t>
      </w:r>
      <w:r>
        <w:rPr>
          <w:rFonts w:hint="eastAsia" w:ascii="Times New Roman" w:hAnsi="Times New Roman" w:eastAsia="宋体"/>
          <w:bCs/>
          <w:iCs/>
          <w:sz w:val="20"/>
          <w:szCs w:val="20"/>
        </w:rPr>
        <w:t>NCJT</w:t>
      </w:r>
      <w:r>
        <w:rPr>
          <w:rFonts w:ascii="Times New Roman" w:hAnsi="Times New Roman" w:eastAsia="宋体"/>
          <w:bCs/>
          <w:iCs/>
          <w:sz w:val="20"/>
          <w:szCs w:val="20"/>
        </w:rPr>
        <w:t xml:space="preserve">, we assume that MTRP CSI priority is higher than STRP CSI within a single CSI reporting since more channel information can be acquired from MTRP CSI compared with a </w:t>
      </w:r>
      <w:r>
        <w:rPr>
          <w:rFonts w:hint="eastAsia" w:ascii="Times New Roman" w:hAnsi="Times New Roman" w:eastAsia="宋体"/>
          <w:bCs/>
          <w:iCs/>
          <w:sz w:val="20"/>
          <w:szCs w:val="20"/>
        </w:rPr>
        <w:t>STRP</w:t>
      </w:r>
      <w:r>
        <w:rPr>
          <w:rFonts w:ascii="Times New Roman" w:hAnsi="Times New Roman" w:eastAsia="宋体"/>
          <w:bCs/>
          <w:iCs/>
          <w:sz w:val="20"/>
          <w:szCs w:val="20"/>
        </w:rPr>
        <w:t xml:space="preserve"> CSI. </w:t>
      </w:r>
      <w:r>
        <w:rPr>
          <w:rFonts w:ascii="Times New Roman" w:hAnsi="Times New Roman" w:eastAsia="宋体"/>
          <w:iCs/>
          <w:sz w:val="20"/>
          <w:szCs w:val="20"/>
        </w:rPr>
        <w:t>Bas</w:t>
      </w:r>
      <w:r>
        <w:rPr>
          <w:rFonts w:hint="eastAsia" w:ascii="Times New Roman" w:hAnsi="Times New Roman" w:eastAsia="宋体"/>
          <w:iCs/>
          <w:sz w:val="20"/>
          <w:szCs w:val="20"/>
        </w:rPr>
        <w:t>ically</w:t>
      </w:r>
      <w:r>
        <w:rPr>
          <w:rFonts w:ascii="Times New Roman" w:hAnsi="Times New Roman" w:eastAsia="宋体"/>
          <w:iCs/>
          <w:sz w:val="20"/>
          <w:szCs w:val="20"/>
        </w:rPr>
        <w:t xml:space="preserve">, </w:t>
      </w:r>
      <w:r>
        <w:rPr>
          <w:rFonts w:ascii="Times New Roman" w:hAnsi="Times New Roman"/>
          <w:sz w:val="20"/>
          <w:szCs w:val="20"/>
        </w:rPr>
        <w:t xml:space="preserve">the priority order shown in Table 5.2.3-1 of current 38.214 for determining the omission of part 2 CSI should be </w:t>
      </w:r>
      <w:r>
        <w:rPr>
          <w:rFonts w:hint="eastAsia" w:ascii="Times New Roman" w:hAnsi="Times New Roman"/>
          <w:sz w:val="20"/>
          <w:szCs w:val="20"/>
        </w:rPr>
        <w:t>chang</w:t>
      </w:r>
      <w:r>
        <w:rPr>
          <w:rFonts w:ascii="Times New Roman" w:hAnsi="Times New Roman"/>
          <w:sz w:val="20"/>
          <w:szCs w:val="20"/>
        </w:rPr>
        <w:t>ed.</w:t>
      </w:r>
      <w:r>
        <w:rPr>
          <w:rFonts w:hint="eastAsia" w:ascii="Times New Roman" w:hAnsi="Times New Roman"/>
          <w:sz w:val="20"/>
          <w:szCs w:val="20"/>
        </w:rPr>
        <w:t xml:space="preserve"> </w:t>
      </w:r>
      <w:r>
        <w:rPr>
          <w:rFonts w:ascii="Times New Roman" w:hAnsi="Times New Roman"/>
          <w:sz w:val="20"/>
          <w:szCs w:val="20"/>
        </w:rPr>
        <w:t>A</w:t>
      </w:r>
      <w:r>
        <w:rPr>
          <w:rFonts w:hint="eastAsia" w:ascii="Times New Roman" w:hAnsi="Times New Roman"/>
          <w:sz w:val="20"/>
          <w:szCs w:val="20"/>
        </w:rPr>
        <w:t>s shown in Table 2-4</w:t>
      </w:r>
      <w:r>
        <w:rPr>
          <w:rFonts w:ascii="Times New Roman" w:hAnsi="Times New Roman"/>
          <w:sz w:val="20"/>
          <w:szCs w:val="20"/>
        </w:rPr>
        <w:t>,</w:t>
      </w:r>
      <w:r>
        <w:rPr>
          <w:rFonts w:hint="eastAsia" w:ascii="Times New Roman" w:hAnsi="Times New Roman"/>
          <w:sz w:val="20"/>
          <w:szCs w:val="20"/>
        </w:rPr>
        <w:t xml:space="preserve"> </w:t>
      </w:r>
      <w:r>
        <w:rPr>
          <w:rFonts w:hint="eastAsia" w:ascii="Times New Roman" w:hAnsi="Times New Roman" w:eastAsia="宋体"/>
          <w:sz w:val="20"/>
          <w:szCs w:val="20"/>
        </w:rPr>
        <w:t>N</w:t>
      </w:r>
      <w:r>
        <w:rPr>
          <w:rFonts w:ascii="Times New Roman" w:hAnsi="Times New Roman" w:eastAsia="宋体"/>
          <w:sz w:val="20"/>
          <w:szCs w:val="20"/>
          <w:lang w:val="en-GB" w:eastAsia="en-US"/>
        </w:rPr>
        <w:t xml:space="preserve"> is the number of CSI reports configured to be carried on the PUSCH. Priority 0 is the highest priority and priority </w:t>
      </w:r>
      <w:r>
        <w:rPr>
          <w:rFonts w:hint="eastAsia" w:ascii="Times New Roman" w:hAnsi="Times New Roman" w:eastAsia="宋体"/>
          <w:sz w:val="20"/>
          <w:szCs w:val="20"/>
        </w:rPr>
        <w:t>6N</w:t>
      </w:r>
      <w:r>
        <w:rPr>
          <w:rFonts w:ascii="Times New Roman" w:hAnsi="Times New Roman" w:eastAsia="宋体"/>
          <w:sz w:val="20"/>
          <w:szCs w:val="20"/>
          <w:lang w:val="en-GB" w:eastAsia="en-US"/>
        </w:rPr>
        <w:t xml:space="preserve"> is the lowest priority and the CSI report </w:t>
      </w:r>
      <w:r>
        <w:rPr>
          <w:rFonts w:ascii="Times New Roman" w:hAnsi="Times New Roman" w:eastAsia="宋体"/>
          <w:i/>
          <w:sz w:val="20"/>
          <w:szCs w:val="20"/>
          <w:lang w:val="en-GB" w:eastAsia="en-US"/>
        </w:rPr>
        <w:t>n</w:t>
      </w:r>
      <w:r>
        <w:rPr>
          <w:rFonts w:ascii="Times New Roman" w:hAnsi="Times New Roman" w:eastAsia="宋体"/>
          <w:sz w:val="20"/>
          <w:szCs w:val="20"/>
          <w:lang w:val="en-GB" w:eastAsia="en-US"/>
        </w:rPr>
        <w:t xml:space="preserve"> corresponds to the CSI report with the Pri</w:t>
      </w:r>
      <w:r>
        <w:rPr>
          <w:rFonts w:ascii="Times New Roman" w:hAnsi="Times New Roman" w:eastAsia="宋体"/>
          <w:sz w:val="20"/>
          <w:szCs w:val="20"/>
          <w:vertAlign w:val="subscript"/>
          <w:lang w:val="en-GB" w:eastAsia="en-US"/>
        </w:rPr>
        <w:t>i,CSI</w:t>
      </w:r>
      <w:r>
        <w:rPr>
          <w:rFonts w:ascii="Times New Roman" w:hAnsi="Times New Roman" w:eastAsia="宋体"/>
          <w:sz w:val="20"/>
          <w:szCs w:val="20"/>
          <w:lang w:val="en-GB" w:eastAsia="en-US"/>
        </w:rPr>
        <w:t>(</w:t>
      </w:r>
      <w:r>
        <w:rPr>
          <w:rFonts w:ascii="Times New Roman" w:hAnsi="Times New Roman" w:eastAsia="宋体"/>
          <w:i/>
          <w:sz w:val="20"/>
          <w:szCs w:val="20"/>
          <w:lang w:val="en-GB" w:eastAsia="en-US"/>
        </w:rPr>
        <w:t>y,k,c,s</w:t>
      </w:r>
      <w:r>
        <w:rPr>
          <w:rFonts w:hint="eastAsia" w:ascii="Times New Roman" w:hAnsi="Times New Roman" w:eastAsia="宋体"/>
          <w:i/>
          <w:sz w:val="20"/>
          <w:szCs w:val="20"/>
        </w:rPr>
        <w:t>,x</w:t>
      </w:r>
      <w:r>
        <w:rPr>
          <w:rFonts w:ascii="Times New Roman" w:hAnsi="Times New Roman" w:eastAsia="宋体"/>
          <w:sz w:val="20"/>
          <w:szCs w:val="20"/>
          <w:lang w:val="en-GB" w:eastAsia="en-US"/>
        </w:rPr>
        <w:t>) value</w:t>
      </w:r>
      <w:r>
        <w:rPr>
          <w:rFonts w:hint="eastAsia" w:ascii="Times New Roman" w:hAnsi="Times New Roman" w:eastAsia="宋体"/>
          <w:sz w:val="20"/>
          <w:szCs w:val="20"/>
        </w:rPr>
        <w:t xml:space="preserve">s from </w:t>
      </w:r>
      <w:r>
        <w:rPr>
          <w:rFonts w:hint="eastAsia" w:ascii="Times New Roman" w:hAnsi="Times New Roman" w:eastAsia="宋体"/>
          <w:i/>
          <w:iCs/>
          <w:sz w:val="20"/>
          <w:szCs w:val="20"/>
        </w:rPr>
        <w:t>(6n-5)</w:t>
      </w:r>
      <w:r>
        <w:rPr>
          <w:rFonts w:ascii="Times New Roman" w:hAnsi="Times New Roman" w:eastAsia="宋体"/>
          <w:i/>
          <w:iCs/>
          <w:sz w:val="20"/>
          <w:szCs w:val="20"/>
        </w:rPr>
        <w:t>-</w:t>
      </w:r>
      <w:r>
        <w:rPr>
          <w:rFonts w:hint="eastAsia" w:ascii="Times New Roman" w:hAnsi="Times New Roman" w:eastAsia="宋体"/>
          <w:sz w:val="20"/>
          <w:szCs w:val="20"/>
        </w:rPr>
        <w:t xml:space="preserve">th to </w:t>
      </w:r>
      <w:r>
        <w:rPr>
          <w:rFonts w:hint="eastAsia" w:ascii="Times New Roman" w:hAnsi="Times New Roman" w:eastAsia="宋体"/>
          <w:i/>
          <w:iCs/>
          <w:sz w:val="20"/>
          <w:szCs w:val="20"/>
        </w:rPr>
        <w:t>(6n)</w:t>
      </w:r>
      <w:r>
        <w:rPr>
          <w:rFonts w:ascii="Times New Roman" w:hAnsi="Times New Roman" w:eastAsia="宋体"/>
          <w:i/>
          <w:iCs/>
          <w:sz w:val="20"/>
          <w:szCs w:val="20"/>
        </w:rPr>
        <w:t>-</w:t>
      </w:r>
      <w:r>
        <w:rPr>
          <w:rFonts w:hint="eastAsia" w:ascii="Times New Roman" w:hAnsi="Times New Roman" w:eastAsia="宋体"/>
          <w:sz w:val="20"/>
          <w:szCs w:val="20"/>
        </w:rPr>
        <w:t>th</w:t>
      </w:r>
      <w:r>
        <w:rPr>
          <w:rFonts w:ascii="Times New Roman" w:hAnsi="Times New Roman" w:eastAsia="宋体"/>
          <w:sz w:val="20"/>
          <w:szCs w:val="20"/>
          <w:lang w:val="en-GB" w:eastAsia="en-US"/>
        </w:rPr>
        <w:t xml:space="preserve"> among the </w:t>
      </w:r>
      <w:r>
        <w:rPr>
          <w:rFonts w:hint="eastAsia" w:ascii="Times New Roman" w:hAnsi="Times New Roman" w:eastAsia="宋体"/>
          <w:sz w:val="20"/>
          <w:szCs w:val="20"/>
        </w:rPr>
        <w:t>N</w:t>
      </w:r>
      <w:r>
        <w:rPr>
          <w:rFonts w:ascii="Times New Roman" w:hAnsi="Times New Roman" w:eastAsia="宋体"/>
          <w:sz w:val="20"/>
          <w:szCs w:val="20"/>
          <w:lang w:val="en-GB" w:eastAsia="en-US"/>
        </w:rPr>
        <w:t xml:space="preserve"> CSI reports.</w:t>
      </w:r>
      <w:r>
        <w:rPr>
          <w:rFonts w:hint="eastAsia" w:ascii="Times New Roman" w:hAnsi="Times New Roman" w:eastAsia="宋体"/>
          <w:sz w:val="20"/>
          <w:szCs w:val="20"/>
        </w:rPr>
        <w:t xml:space="preserve"> </w:t>
      </w:r>
      <w:r>
        <w:rPr>
          <w:rFonts w:ascii="Times New Roman" w:hAnsi="Times New Roman" w:eastAsia="宋体"/>
          <w:sz w:val="20"/>
          <w:szCs w:val="20"/>
          <w:lang w:val="en-GB" w:eastAsia="en-US"/>
        </w:rPr>
        <w:t xml:space="preserve">It is noted that some priorities from </w:t>
      </w:r>
      <w:r>
        <w:rPr>
          <w:rFonts w:hint="eastAsia" w:ascii="Times New Roman" w:hAnsi="Times New Roman" w:eastAsia="宋体"/>
          <w:i/>
          <w:iCs/>
          <w:sz w:val="20"/>
          <w:szCs w:val="20"/>
        </w:rPr>
        <w:t>(6n-5)</w:t>
      </w:r>
      <w:r>
        <w:rPr>
          <w:rFonts w:ascii="Times New Roman" w:hAnsi="Times New Roman" w:eastAsia="宋体"/>
          <w:i/>
          <w:iCs/>
          <w:sz w:val="20"/>
          <w:szCs w:val="20"/>
        </w:rPr>
        <w:t>-</w:t>
      </w:r>
      <w:r>
        <w:rPr>
          <w:rFonts w:hint="eastAsia" w:ascii="Times New Roman" w:hAnsi="Times New Roman" w:eastAsia="宋体"/>
          <w:sz w:val="20"/>
          <w:szCs w:val="20"/>
        </w:rPr>
        <w:t xml:space="preserve">th to </w:t>
      </w:r>
      <w:r>
        <w:rPr>
          <w:rFonts w:hint="eastAsia" w:ascii="Times New Roman" w:hAnsi="Times New Roman" w:eastAsia="宋体"/>
          <w:i/>
          <w:iCs/>
          <w:sz w:val="20"/>
          <w:szCs w:val="20"/>
        </w:rPr>
        <w:t>(6n)</w:t>
      </w:r>
      <w:r>
        <w:rPr>
          <w:rFonts w:ascii="Times New Roman" w:hAnsi="Times New Roman" w:eastAsia="宋体"/>
          <w:i/>
          <w:iCs/>
          <w:sz w:val="20"/>
          <w:szCs w:val="20"/>
        </w:rPr>
        <w:t>-</w:t>
      </w:r>
      <w:r>
        <w:rPr>
          <w:rFonts w:hint="eastAsia" w:ascii="Times New Roman" w:hAnsi="Times New Roman" w:eastAsia="宋体"/>
          <w:sz w:val="20"/>
          <w:szCs w:val="20"/>
        </w:rPr>
        <w:t>th</w:t>
      </w:r>
      <w:r>
        <w:rPr>
          <w:rFonts w:ascii="Times New Roman" w:hAnsi="Times New Roman" w:eastAsia="宋体"/>
          <w:sz w:val="20"/>
          <w:szCs w:val="20"/>
        </w:rPr>
        <w:t xml:space="preserve"> for CSI report </w:t>
      </w:r>
      <w:r>
        <w:rPr>
          <w:rFonts w:ascii="Times New Roman" w:hAnsi="Times New Roman" w:eastAsia="宋体"/>
          <w:i/>
          <w:sz w:val="20"/>
          <w:szCs w:val="20"/>
        </w:rPr>
        <w:t>n</w:t>
      </w:r>
      <w:r>
        <w:rPr>
          <w:rFonts w:ascii="Times New Roman" w:hAnsi="Times New Roman" w:eastAsia="宋体"/>
          <w:sz w:val="20"/>
          <w:szCs w:val="20"/>
        </w:rPr>
        <w:t xml:space="preserve"> may not exist depending on the X values</w:t>
      </w:r>
      <w:r>
        <w:rPr>
          <w:rFonts w:ascii="Times New Roman" w:hAnsi="Times New Roman" w:eastAsia="宋体"/>
          <w:sz w:val="20"/>
          <w:szCs w:val="20"/>
          <w:lang w:val="en-GB" w:eastAsia="en-US"/>
        </w:rPr>
        <w:t xml:space="preserve">. </w:t>
      </w:r>
    </w:p>
    <w:p>
      <w:pPr>
        <w:snapToGrid w:val="0"/>
        <w:spacing w:before="180" w:beforeLines="50" w:after="180" w:afterLines="50" w:line="240" w:lineRule="auto"/>
        <w:jc w:val="center"/>
        <w:rPr>
          <w:rFonts w:ascii="Times New Roman" w:hAnsi="Times New Roman"/>
          <w:iCs/>
          <w:sz w:val="20"/>
          <w:szCs w:val="20"/>
        </w:rPr>
      </w:pPr>
      <w:r>
        <w:rPr>
          <w:rFonts w:hint="eastAsia" w:ascii="Times New Roman" w:hAnsi="Times New Roman"/>
          <w:iCs/>
          <w:sz w:val="20"/>
          <w:szCs w:val="20"/>
        </w:rPr>
        <w:t>Table 2-4 Priority reporting levels for Part 2 CSI</w:t>
      </w:r>
    </w:p>
    <w:tbl>
      <w:tblPr>
        <w:tblStyle w:val="28"/>
        <w:tblW w:w="6340" w:type="dxa"/>
        <w:jc w:val="center"/>
        <w:tblCellSpacing w:w="0" w:type="dxa"/>
        <w:tblLayout w:type="autofit"/>
        <w:tblCellMar>
          <w:top w:w="0" w:type="dxa"/>
          <w:left w:w="0" w:type="dxa"/>
          <w:bottom w:w="0" w:type="dxa"/>
          <w:right w:w="0" w:type="dxa"/>
        </w:tblCellMar>
      </w:tblPr>
      <w:tblGrid>
        <w:gridCol w:w="6340"/>
      </w:tblGrid>
      <w:tr>
        <w:tblPrEx>
          <w:tblCellMar>
            <w:top w:w="0" w:type="dxa"/>
            <w:left w:w="0" w:type="dxa"/>
            <w:bottom w:w="0" w:type="dxa"/>
            <w:right w:w="0" w:type="dxa"/>
          </w:tblCellMar>
        </w:tblPrEx>
        <w:trPr>
          <w:trHeight w:val="36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6"/>
              <w:snapToGrid w:val="0"/>
              <w:jc w:val="center"/>
            </w:pPr>
            <w:r>
              <w:rPr>
                <w:rFonts w:ascii="Times New Roman" w:hAnsi="Times New Roman" w:cs="Times New Roman"/>
                <w:sz w:val="20"/>
                <w:szCs w:val="20"/>
              </w:rPr>
              <w:t>Priority 0: Part 2 wideband CSI for CSI reports for CSI reports 1 to N</w:t>
            </w:r>
          </w:p>
        </w:tc>
      </w:tr>
      <w:tr>
        <w:tblPrEx>
          <w:tblCellMar>
            <w:top w:w="0" w:type="dxa"/>
            <w:left w:w="0" w:type="dxa"/>
            <w:bottom w:w="0" w:type="dxa"/>
            <w:right w:w="0" w:type="dxa"/>
          </w:tblCellMar>
        </w:tblPrEx>
        <w:trPr>
          <w:trHeight w:val="479"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6"/>
              <w:snapToGrid w:val="0"/>
              <w:jc w:val="center"/>
            </w:pPr>
            <w:r>
              <w:rPr>
                <w:rFonts w:ascii="Times New Roman" w:hAnsi="Times New Roman" w:cs="Times New Roman"/>
                <w:sz w:val="20"/>
                <w:szCs w:val="20"/>
              </w:rPr>
              <w:t>Priority 1: Part 2 subband CSI of even subbands</w:t>
            </w:r>
          </w:p>
          <w:p>
            <w:pPr>
              <w:pStyle w:val="26"/>
              <w:snapToGrid w:val="0"/>
              <w:jc w:val="center"/>
            </w:pPr>
            <w:r>
              <w:rPr>
                <w:rFonts w:ascii="Times New Roman" w:hAnsi="Times New Roman" w:cs="Times New Roman"/>
                <w:sz w:val="20"/>
                <w:szCs w:val="20"/>
              </w:rPr>
              <w:t>associated with NCJT CSI  if configured for CSI report 1</w:t>
            </w:r>
          </w:p>
        </w:tc>
      </w:tr>
      <w:tr>
        <w:tblPrEx>
          <w:tblCellMar>
            <w:top w:w="0" w:type="dxa"/>
            <w:left w:w="0" w:type="dxa"/>
            <w:bottom w:w="0" w:type="dxa"/>
            <w:right w:w="0" w:type="dxa"/>
          </w:tblCellMar>
        </w:tblPrEx>
        <w:trPr>
          <w:trHeight w:val="50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6"/>
              <w:snapToGrid w:val="0"/>
              <w:jc w:val="center"/>
            </w:pPr>
            <w:r>
              <w:rPr>
                <w:rFonts w:ascii="Times New Roman" w:hAnsi="Times New Roman" w:cs="Times New Roman"/>
                <w:sz w:val="20"/>
                <w:szCs w:val="20"/>
              </w:rPr>
              <w:t>Priority 2: Part 2 subband CSI of odd subbands</w:t>
            </w:r>
          </w:p>
          <w:p>
            <w:pPr>
              <w:pStyle w:val="26"/>
              <w:snapToGrid w:val="0"/>
              <w:jc w:val="center"/>
            </w:pPr>
            <w:r>
              <w:rPr>
                <w:rFonts w:ascii="Times New Roman" w:hAnsi="Times New Roman" w:cs="Times New Roman"/>
                <w:sz w:val="20"/>
                <w:szCs w:val="20"/>
              </w:rPr>
              <w:t>associated with NCJT CSI if configured for CSI report 1</w:t>
            </w:r>
          </w:p>
        </w:tc>
      </w:tr>
      <w:tr>
        <w:tblPrEx>
          <w:tblCellMar>
            <w:top w:w="0" w:type="dxa"/>
            <w:left w:w="0" w:type="dxa"/>
            <w:bottom w:w="0" w:type="dxa"/>
            <w:right w:w="0" w:type="dxa"/>
          </w:tblCellMar>
        </w:tblPrEx>
        <w:trPr>
          <w:trHeight w:val="58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6"/>
              <w:snapToGrid w:val="0"/>
              <w:jc w:val="center"/>
            </w:pPr>
            <w:r>
              <w:rPr>
                <w:rFonts w:ascii="Times New Roman" w:hAnsi="Times New Roman" w:cs="Times New Roman"/>
                <w:sz w:val="20"/>
                <w:szCs w:val="20"/>
              </w:rPr>
              <w:t>Priority 3: Part 2 subband CSI of even subbands</w:t>
            </w:r>
          </w:p>
          <w:p>
            <w:pPr>
              <w:pStyle w:val="26"/>
              <w:snapToGrid w:val="0"/>
              <w:jc w:val="center"/>
            </w:pPr>
            <w:r>
              <w:rPr>
                <w:rFonts w:ascii="Times New Roman" w:hAnsi="Times New Roman" w:cs="Times New Roman"/>
                <w:sz w:val="20"/>
                <w:szCs w:val="20"/>
              </w:rPr>
              <w:t>associated with STRP1 CSI if configured for CSI report 1</w:t>
            </w:r>
          </w:p>
        </w:tc>
      </w:tr>
      <w:tr>
        <w:tblPrEx>
          <w:tblCellMar>
            <w:top w:w="0" w:type="dxa"/>
            <w:left w:w="0" w:type="dxa"/>
            <w:bottom w:w="0" w:type="dxa"/>
            <w:right w:w="0" w:type="dxa"/>
          </w:tblCellMar>
        </w:tblPrEx>
        <w:trPr>
          <w:trHeight w:val="54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6"/>
              <w:snapToGrid w:val="0"/>
              <w:jc w:val="center"/>
            </w:pPr>
            <w:r>
              <w:rPr>
                <w:rFonts w:ascii="Times New Roman" w:hAnsi="Times New Roman" w:cs="Times New Roman"/>
                <w:sz w:val="20"/>
                <w:szCs w:val="20"/>
              </w:rPr>
              <w:t>Priority 4: Part 2 subband CSI of odd subbands</w:t>
            </w:r>
          </w:p>
          <w:p>
            <w:pPr>
              <w:pStyle w:val="26"/>
              <w:snapToGrid w:val="0"/>
              <w:jc w:val="center"/>
            </w:pPr>
            <w:r>
              <w:rPr>
                <w:rFonts w:ascii="Times New Roman" w:hAnsi="Times New Roman" w:cs="Times New Roman"/>
                <w:sz w:val="20"/>
                <w:szCs w:val="20"/>
              </w:rPr>
              <w:t>associated with STRP1 CSI if configured for CSI report 1</w:t>
            </w:r>
          </w:p>
        </w:tc>
      </w:tr>
      <w:tr>
        <w:tblPrEx>
          <w:tblCellMar>
            <w:top w:w="0" w:type="dxa"/>
            <w:left w:w="0" w:type="dxa"/>
            <w:bottom w:w="0" w:type="dxa"/>
            <w:right w:w="0" w:type="dxa"/>
          </w:tblCellMar>
        </w:tblPrEx>
        <w:trPr>
          <w:trHeight w:val="54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6"/>
              <w:snapToGrid w:val="0"/>
              <w:jc w:val="center"/>
            </w:pPr>
            <w:r>
              <w:rPr>
                <w:rFonts w:ascii="Times New Roman" w:hAnsi="Times New Roman" w:cs="Times New Roman"/>
                <w:sz w:val="20"/>
                <w:szCs w:val="20"/>
              </w:rPr>
              <w:t>Priority 5: Part 2 subband CSI of even subbands</w:t>
            </w:r>
          </w:p>
          <w:p>
            <w:pPr>
              <w:pStyle w:val="26"/>
              <w:snapToGrid w:val="0"/>
              <w:jc w:val="center"/>
            </w:pPr>
            <w:r>
              <w:rPr>
                <w:rFonts w:ascii="Times New Roman" w:hAnsi="Times New Roman" w:cs="Times New Roman"/>
                <w:sz w:val="20"/>
                <w:szCs w:val="20"/>
              </w:rPr>
              <w:t>associated with STRP2 CSI if configured for CSI report 1</w:t>
            </w:r>
          </w:p>
        </w:tc>
      </w:tr>
      <w:tr>
        <w:tblPrEx>
          <w:tblCellMar>
            <w:top w:w="0" w:type="dxa"/>
            <w:left w:w="0" w:type="dxa"/>
            <w:bottom w:w="0" w:type="dxa"/>
            <w:right w:w="0" w:type="dxa"/>
          </w:tblCellMar>
        </w:tblPrEx>
        <w:trPr>
          <w:trHeight w:val="54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6"/>
              <w:snapToGrid w:val="0"/>
              <w:jc w:val="center"/>
            </w:pPr>
            <w:r>
              <w:rPr>
                <w:rFonts w:ascii="Times New Roman" w:hAnsi="Times New Roman" w:cs="Times New Roman"/>
                <w:sz w:val="20"/>
                <w:szCs w:val="20"/>
              </w:rPr>
              <w:t>Priority 6: Part 2 subband CSI of odd subbands</w:t>
            </w:r>
          </w:p>
          <w:p>
            <w:pPr>
              <w:pStyle w:val="26"/>
              <w:snapToGrid w:val="0"/>
              <w:jc w:val="center"/>
            </w:pPr>
            <w:r>
              <w:rPr>
                <w:rFonts w:ascii="Times New Roman" w:hAnsi="Times New Roman" w:cs="Times New Roman"/>
                <w:sz w:val="20"/>
                <w:szCs w:val="20"/>
              </w:rPr>
              <w:t>associated with STRP2 CSI if configured</w:t>
            </w:r>
            <w:r>
              <w:rPr>
                <w:rFonts w:hint="eastAsia" w:ascii="Times New Roman" w:hAnsi="Times New Roman" w:cs="Times New Roman"/>
                <w:sz w:val="20"/>
                <w:szCs w:val="20"/>
              </w:rPr>
              <w:t xml:space="preserve"> </w:t>
            </w:r>
            <w:r>
              <w:rPr>
                <w:rFonts w:ascii="Times New Roman" w:hAnsi="Times New Roman" w:cs="Times New Roman"/>
                <w:sz w:val="20"/>
                <w:szCs w:val="20"/>
              </w:rPr>
              <w:t>for CSI report 1</w:t>
            </w:r>
          </w:p>
        </w:tc>
      </w:tr>
      <w:tr>
        <w:tblPrEx>
          <w:tblCellMar>
            <w:top w:w="0" w:type="dxa"/>
            <w:left w:w="0" w:type="dxa"/>
            <w:bottom w:w="0" w:type="dxa"/>
            <w:right w:w="0" w:type="dxa"/>
          </w:tblCellMar>
        </w:tblPrEx>
        <w:trPr>
          <w:trHeight w:val="38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6"/>
              <w:snapToGrid w:val="0"/>
              <w:jc w:val="center"/>
            </w:pPr>
            <w:r>
              <w:rPr>
                <w:rFonts w:ascii="Times New Roman" w:hAnsi="Times New Roman" w:cs="Times New Roman"/>
                <w:sz w:val="20"/>
                <w:szCs w:val="20"/>
              </w:rPr>
              <w:t>⁞</w:t>
            </w:r>
          </w:p>
        </w:tc>
      </w:tr>
      <w:tr>
        <w:tblPrEx>
          <w:tblCellMar>
            <w:top w:w="0" w:type="dxa"/>
            <w:left w:w="0" w:type="dxa"/>
            <w:bottom w:w="0" w:type="dxa"/>
            <w:right w:w="0" w:type="dxa"/>
          </w:tblCellMar>
        </w:tblPrEx>
        <w:trPr>
          <w:trHeight w:val="50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6"/>
              <w:snapToGrid w:val="0"/>
              <w:jc w:val="center"/>
            </w:pPr>
            <w:r>
              <w:rPr>
                <w:rFonts w:ascii="Times New Roman" w:hAnsi="Times New Roman" w:cs="Times New Roman"/>
                <w:sz w:val="20"/>
                <w:szCs w:val="20"/>
              </w:rPr>
              <w:t>Priority 6N-5: Part 2 subband CSI of even subbands</w:t>
            </w:r>
          </w:p>
          <w:p>
            <w:pPr>
              <w:pStyle w:val="26"/>
              <w:snapToGrid w:val="0"/>
              <w:jc w:val="center"/>
            </w:pPr>
            <w:r>
              <w:rPr>
                <w:rFonts w:ascii="Times New Roman" w:hAnsi="Times New Roman" w:cs="Times New Roman"/>
                <w:sz w:val="20"/>
                <w:szCs w:val="20"/>
              </w:rPr>
              <w:t>associated with NCJT CSI</w:t>
            </w:r>
            <w:r>
              <w:rPr>
                <w:rFonts w:hint="eastAsia" w:ascii="Times New Roman" w:hAnsi="Times New Roman" w:cs="Times New Roman"/>
                <w:sz w:val="20"/>
                <w:szCs w:val="20"/>
              </w:rPr>
              <w:t xml:space="preserve"> </w:t>
            </w:r>
            <w:r>
              <w:rPr>
                <w:rFonts w:ascii="Times New Roman" w:hAnsi="Times New Roman" w:cs="Times New Roman"/>
                <w:sz w:val="20"/>
                <w:szCs w:val="20"/>
              </w:rPr>
              <w:t>if configured for CSI report N</w:t>
            </w:r>
          </w:p>
        </w:tc>
      </w:tr>
      <w:tr>
        <w:tblPrEx>
          <w:tblCellMar>
            <w:top w:w="0" w:type="dxa"/>
            <w:left w:w="0" w:type="dxa"/>
            <w:bottom w:w="0" w:type="dxa"/>
            <w:right w:w="0" w:type="dxa"/>
          </w:tblCellMar>
        </w:tblPrEx>
        <w:trPr>
          <w:trHeight w:val="50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6"/>
              <w:snapToGrid w:val="0"/>
              <w:jc w:val="center"/>
            </w:pPr>
            <w:r>
              <w:rPr>
                <w:rFonts w:ascii="Times New Roman" w:hAnsi="Times New Roman" w:cs="Times New Roman"/>
                <w:sz w:val="20"/>
                <w:szCs w:val="20"/>
              </w:rPr>
              <w:t>Priority 6N-4: Part 2 subband CSI of odd subbands</w:t>
            </w:r>
          </w:p>
          <w:p>
            <w:pPr>
              <w:pStyle w:val="26"/>
              <w:snapToGrid w:val="0"/>
              <w:jc w:val="center"/>
            </w:pPr>
            <w:r>
              <w:rPr>
                <w:rFonts w:ascii="Times New Roman" w:hAnsi="Times New Roman" w:cs="Times New Roman"/>
                <w:sz w:val="20"/>
                <w:szCs w:val="20"/>
              </w:rPr>
              <w:t>associated with NCJT CSI</w:t>
            </w:r>
            <w:r>
              <w:rPr>
                <w:rFonts w:hint="eastAsia" w:ascii="Times New Roman" w:hAnsi="Times New Roman" w:cs="Times New Roman"/>
                <w:sz w:val="20"/>
                <w:szCs w:val="20"/>
              </w:rPr>
              <w:t xml:space="preserve"> </w:t>
            </w:r>
            <w:r>
              <w:rPr>
                <w:rFonts w:ascii="Times New Roman" w:hAnsi="Times New Roman" w:cs="Times New Roman"/>
                <w:sz w:val="20"/>
                <w:szCs w:val="20"/>
              </w:rPr>
              <w:t>if configured for CSI report N</w:t>
            </w:r>
          </w:p>
        </w:tc>
      </w:tr>
      <w:tr>
        <w:tblPrEx>
          <w:tblCellMar>
            <w:top w:w="0" w:type="dxa"/>
            <w:left w:w="0" w:type="dxa"/>
            <w:bottom w:w="0" w:type="dxa"/>
            <w:right w:w="0" w:type="dxa"/>
          </w:tblCellMar>
        </w:tblPrEx>
        <w:trPr>
          <w:trHeight w:val="54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6"/>
              <w:snapToGrid w:val="0"/>
              <w:jc w:val="center"/>
            </w:pPr>
            <w:r>
              <w:rPr>
                <w:rFonts w:ascii="Times New Roman" w:hAnsi="Times New Roman" w:cs="Times New Roman"/>
                <w:sz w:val="20"/>
                <w:szCs w:val="20"/>
              </w:rPr>
              <w:t>Priority 6N-3: Part 2 subband CSI of even subbands</w:t>
            </w:r>
          </w:p>
          <w:p>
            <w:pPr>
              <w:pStyle w:val="26"/>
              <w:snapToGrid w:val="0"/>
              <w:jc w:val="center"/>
            </w:pPr>
            <w:r>
              <w:rPr>
                <w:rFonts w:ascii="Times New Roman" w:hAnsi="Times New Roman" w:cs="Times New Roman"/>
                <w:sz w:val="20"/>
                <w:szCs w:val="20"/>
              </w:rPr>
              <w:t>associated with STRP1 CSI</w:t>
            </w:r>
            <w:r>
              <w:rPr>
                <w:rFonts w:hint="eastAsia" w:ascii="Times New Roman" w:hAnsi="Times New Roman" w:cs="Times New Roman"/>
                <w:sz w:val="20"/>
                <w:szCs w:val="20"/>
              </w:rPr>
              <w:t xml:space="preserve"> </w:t>
            </w:r>
            <w:r>
              <w:rPr>
                <w:rFonts w:ascii="Times New Roman" w:hAnsi="Times New Roman" w:cs="Times New Roman"/>
                <w:sz w:val="20"/>
                <w:szCs w:val="20"/>
              </w:rPr>
              <w:t>if configured for CSI report N</w:t>
            </w:r>
          </w:p>
        </w:tc>
      </w:tr>
      <w:tr>
        <w:tblPrEx>
          <w:tblCellMar>
            <w:top w:w="0" w:type="dxa"/>
            <w:left w:w="0" w:type="dxa"/>
            <w:bottom w:w="0" w:type="dxa"/>
            <w:right w:w="0" w:type="dxa"/>
          </w:tblCellMar>
        </w:tblPrEx>
        <w:trPr>
          <w:trHeight w:val="50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6"/>
              <w:snapToGrid w:val="0"/>
              <w:jc w:val="center"/>
            </w:pPr>
            <w:r>
              <w:rPr>
                <w:rFonts w:ascii="Times New Roman" w:hAnsi="Times New Roman" w:cs="Times New Roman"/>
                <w:sz w:val="20"/>
                <w:szCs w:val="20"/>
              </w:rPr>
              <w:t>Priority 6N-2: Part 2 subband CSI of odd subbands</w:t>
            </w:r>
          </w:p>
          <w:p>
            <w:pPr>
              <w:pStyle w:val="26"/>
              <w:snapToGrid w:val="0"/>
              <w:jc w:val="center"/>
            </w:pPr>
            <w:r>
              <w:rPr>
                <w:rFonts w:ascii="Times New Roman" w:hAnsi="Times New Roman" w:cs="Times New Roman"/>
                <w:sz w:val="20"/>
                <w:szCs w:val="20"/>
              </w:rPr>
              <w:t>associated with STRP1 CSI</w:t>
            </w:r>
            <w:r>
              <w:rPr>
                <w:rFonts w:hint="eastAsia" w:ascii="Times New Roman" w:hAnsi="Times New Roman" w:cs="Times New Roman"/>
                <w:sz w:val="20"/>
                <w:szCs w:val="20"/>
              </w:rPr>
              <w:t xml:space="preserve"> </w:t>
            </w:r>
            <w:r>
              <w:rPr>
                <w:rFonts w:ascii="Times New Roman" w:hAnsi="Times New Roman" w:cs="Times New Roman"/>
                <w:sz w:val="20"/>
                <w:szCs w:val="20"/>
              </w:rPr>
              <w:t>if configured for CSI report N</w:t>
            </w:r>
          </w:p>
        </w:tc>
      </w:tr>
      <w:tr>
        <w:tblPrEx>
          <w:tblCellMar>
            <w:top w:w="0" w:type="dxa"/>
            <w:left w:w="0" w:type="dxa"/>
            <w:bottom w:w="0" w:type="dxa"/>
            <w:right w:w="0" w:type="dxa"/>
          </w:tblCellMar>
        </w:tblPrEx>
        <w:trPr>
          <w:trHeight w:val="50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6"/>
              <w:snapToGrid w:val="0"/>
              <w:jc w:val="center"/>
            </w:pPr>
            <w:r>
              <w:rPr>
                <w:rFonts w:ascii="Times New Roman" w:hAnsi="Times New Roman" w:cs="Times New Roman"/>
                <w:sz w:val="20"/>
                <w:szCs w:val="20"/>
              </w:rPr>
              <w:t>Priority 6N-1: Part 2 subband CSI of even subbands</w:t>
            </w:r>
          </w:p>
          <w:p>
            <w:pPr>
              <w:pStyle w:val="26"/>
              <w:snapToGrid w:val="0"/>
              <w:jc w:val="center"/>
            </w:pPr>
            <w:r>
              <w:rPr>
                <w:rFonts w:ascii="Times New Roman" w:hAnsi="Times New Roman" w:cs="Times New Roman"/>
                <w:sz w:val="20"/>
                <w:szCs w:val="20"/>
              </w:rPr>
              <w:t>associated with STRP2 CSI</w:t>
            </w:r>
            <w:r>
              <w:rPr>
                <w:rFonts w:hint="eastAsia" w:ascii="Times New Roman" w:hAnsi="Times New Roman" w:cs="Times New Roman"/>
                <w:sz w:val="20"/>
                <w:szCs w:val="20"/>
              </w:rPr>
              <w:t xml:space="preserve"> </w:t>
            </w:r>
            <w:r>
              <w:rPr>
                <w:rFonts w:ascii="Times New Roman" w:hAnsi="Times New Roman" w:cs="Times New Roman"/>
                <w:sz w:val="20"/>
                <w:szCs w:val="20"/>
              </w:rPr>
              <w:t>if configured for CSI report N</w:t>
            </w:r>
          </w:p>
        </w:tc>
      </w:tr>
      <w:tr>
        <w:tblPrEx>
          <w:tblCellMar>
            <w:top w:w="0" w:type="dxa"/>
            <w:left w:w="0" w:type="dxa"/>
            <w:bottom w:w="0" w:type="dxa"/>
            <w:right w:w="0" w:type="dxa"/>
          </w:tblCellMar>
        </w:tblPrEx>
        <w:trPr>
          <w:trHeight w:val="560" w:hRule="atLeast"/>
          <w:tblCellSpacing w:w="0" w:type="dxa"/>
          <w:jc w:val="center"/>
        </w:trPr>
        <w:tc>
          <w:tcPr>
            <w:tcW w:w="634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6"/>
              <w:snapToGrid w:val="0"/>
              <w:jc w:val="center"/>
            </w:pPr>
            <w:r>
              <w:rPr>
                <w:rFonts w:ascii="Times New Roman" w:hAnsi="Times New Roman" w:cs="Times New Roman"/>
                <w:sz w:val="20"/>
                <w:szCs w:val="20"/>
              </w:rPr>
              <w:t>Priority 6N: Part 2 subband CSI of odd subbands</w:t>
            </w:r>
          </w:p>
          <w:p>
            <w:pPr>
              <w:pStyle w:val="26"/>
              <w:snapToGrid w:val="0"/>
              <w:jc w:val="center"/>
            </w:pPr>
            <w:r>
              <w:rPr>
                <w:rFonts w:ascii="Times New Roman" w:hAnsi="Times New Roman" w:cs="Times New Roman"/>
                <w:sz w:val="20"/>
                <w:szCs w:val="20"/>
              </w:rPr>
              <w:t>associated with STRP2 CSI</w:t>
            </w:r>
            <w:r>
              <w:rPr>
                <w:rFonts w:hint="eastAsia" w:ascii="Times New Roman" w:hAnsi="Times New Roman" w:cs="Times New Roman"/>
                <w:sz w:val="20"/>
                <w:szCs w:val="20"/>
              </w:rPr>
              <w:t xml:space="preserve"> </w:t>
            </w:r>
            <w:r>
              <w:rPr>
                <w:rFonts w:ascii="Times New Roman" w:hAnsi="Times New Roman" w:cs="Times New Roman"/>
                <w:sz w:val="20"/>
                <w:szCs w:val="20"/>
              </w:rPr>
              <w:t>if configured for CSI report N</w:t>
            </w:r>
          </w:p>
        </w:tc>
      </w:tr>
    </w:tbl>
    <w:p>
      <w:pPr>
        <w:snapToGrid w:val="0"/>
        <w:spacing w:before="180" w:beforeLines="50" w:after="180" w:afterLines="50" w:line="240" w:lineRule="exact"/>
        <w:jc w:val="both"/>
        <w:rPr>
          <w:rFonts w:ascii="Times New Roman" w:hAnsi="Times New Roman" w:eastAsia="宋体"/>
          <w:bCs/>
          <w:i/>
          <w:iCs/>
          <w:color w:val="000000"/>
          <w:sz w:val="20"/>
          <w:szCs w:val="20"/>
        </w:rPr>
      </w:pPr>
      <w:r>
        <w:rPr>
          <w:rFonts w:hint="eastAsia" w:ascii="Times New Roman" w:hAnsi="Times New Roman" w:eastAsia="宋体"/>
          <w:b/>
          <w:i/>
          <w:iCs/>
          <w:color w:val="000000"/>
          <w:sz w:val="20"/>
          <w:szCs w:val="20"/>
        </w:rPr>
        <w:t>Proposal 7:</w:t>
      </w:r>
      <w:r>
        <w:rPr>
          <w:rFonts w:hint="eastAsia" w:ascii="Times New Roman" w:hAnsi="Times New Roman" w:eastAsia="宋体"/>
          <w:bCs/>
          <w:i/>
          <w:iCs/>
          <w:color w:val="000000"/>
          <w:sz w:val="20"/>
          <w:szCs w:val="20"/>
        </w:rPr>
        <w:t xml:space="preserve"> Support </w:t>
      </w:r>
      <w:r>
        <w:rPr>
          <w:rFonts w:ascii="Times New Roman" w:hAnsi="Times New Roman" w:eastAsia="宋体"/>
          <w:bCs/>
          <w:i/>
          <w:iCs/>
          <w:color w:val="000000"/>
          <w:sz w:val="20"/>
          <w:szCs w:val="20"/>
        </w:rPr>
        <w:t xml:space="preserve">to </w:t>
      </w:r>
      <w:r>
        <w:rPr>
          <w:rFonts w:ascii="Times New Roman" w:hAnsi="Times New Roman" w:eastAsia="Malgun Gothic"/>
          <w:bCs/>
          <w:i/>
          <w:iCs/>
          <w:color w:val="000000"/>
          <w:sz w:val="20"/>
          <w:szCs w:val="20"/>
          <w:lang w:val="en-GB" w:eastAsia="en-US"/>
        </w:rPr>
        <w:t>modify the table of priority levels for Part 2 CSI omission with finer granularity.</w:t>
      </w:r>
      <w:r>
        <w:rPr>
          <w:rFonts w:hint="eastAsia" w:ascii="Times New Roman" w:hAnsi="Times New Roman" w:eastAsia="宋体"/>
          <w:bCs/>
          <w:i/>
          <w:iCs/>
          <w:color w:val="000000"/>
          <w:sz w:val="20"/>
          <w:szCs w:val="20"/>
        </w:rPr>
        <w:t xml:space="preserve"> </w:t>
      </w:r>
    </w:p>
    <w:p>
      <w:pPr>
        <w:pStyle w:val="97"/>
        <w:numPr>
          <w:ilvl w:val="0"/>
          <w:numId w:val="10"/>
        </w:numPr>
        <w:snapToGrid w:val="0"/>
        <w:spacing w:before="180" w:beforeLines="50" w:after="180" w:afterLines="50" w:line="240" w:lineRule="exact"/>
        <w:ind w:leftChars="0"/>
        <w:jc w:val="both"/>
        <w:rPr>
          <w:rFonts w:ascii="Times New Roman" w:hAnsi="Times New Roman" w:eastAsia="宋体"/>
          <w:bCs w:val="0"/>
          <w:i/>
          <w:iCs/>
          <w:color w:val="auto"/>
          <w:sz w:val="20"/>
          <w:szCs w:val="20"/>
        </w:rPr>
      </w:pPr>
      <w:r>
        <w:rPr>
          <w:rFonts w:hint="eastAsia" w:ascii="Times New Roman" w:hAnsi="Times New Roman" w:eastAsia="宋体"/>
          <w:bCs/>
          <w:i/>
          <w:iCs/>
          <w:color w:val="000000"/>
          <w:sz w:val="20"/>
          <w:szCs w:val="20"/>
        </w:rPr>
        <w:t>MTRP CSI priority is higher than STRP CSI within a single CSI reporting</w:t>
      </w:r>
      <w:r>
        <w:rPr>
          <w:rFonts w:ascii="Times New Roman" w:hAnsi="Times New Roman" w:eastAsia="宋体"/>
          <w:bCs/>
          <w:i/>
          <w:iCs/>
          <w:color w:val="000000"/>
          <w:sz w:val="20"/>
          <w:szCs w:val="20"/>
        </w:rPr>
        <w:t xml:space="preserve"> when performing CSI omission</w:t>
      </w:r>
      <w:r>
        <w:rPr>
          <w:rFonts w:hint="eastAsia" w:ascii="Times New Roman" w:hAnsi="Times New Roman" w:eastAsia="宋体"/>
          <w:bCs/>
          <w:i/>
          <w:iCs/>
          <w:color w:val="000000"/>
          <w:sz w:val="20"/>
          <w:szCs w:val="20"/>
        </w:rPr>
        <w:t>.</w:t>
      </w:r>
    </w:p>
    <w:p>
      <w:pPr>
        <w:pStyle w:val="97"/>
        <w:numPr>
          <w:ilvl w:val="0"/>
          <w:numId w:val="0"/>
        </w:numPr>
        <w:snapToGrid w:val="0"/>
        <w:spacing w:before="180" w:beforeLines="50" w:after="180" w:afterLines="50" w:line="240" w:lineRule="exact"/>
        <w:jc w:val="both"/>
        <w:rPr>
          <w:rFonts w:ascii="Times New Roman" w:hAnsi="Times New Roman" w:eastAsia="宋体"/>
          <w:i/>
          <w:iCs/>
          <w:sz w:val="20"/>
          <w:szCs w:val="20"/>
        </w:rPr>
      </w:pPr>
      <w:bookmarkStart w:id="8" w:name="_GoBack"/>
      <w:bookmarkEnd w:id="8"/>
    </w:p>
    <w:p>
      <w:pPr>
        <w:pStyle w:val="2"/>
        <w:snapToGrid w:val="0"/>
        <w:spacing w:before="180" w:beforeLines="50" w:after="180" w:afterLines="50"/>
        <w:ind w:left="431" w:hanging="431"/>
        <w:rPr>
          <w:sz w:val="28"/>
          <w:lang w:val="en-US"/>
        </w:rPr>
      </w:pPr>
      <w:r>
        <w:rPr>
          <w:sz w:val="28"/>
          <w:lang w:val="en-US"/>
        </w:rPr>
        <w:t>CSI enhancement based on FDD reciprocity</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The</w:t>
      </w:r>
      <w:r>
        <w:rPr>
          <w:rFonts w:ascii="Times New Roman" w:hAnsi="Times New Roman"/>
          <w:sz w:val="20"/>
          <w:szCs w:val="20"/>
        </w:rPr>
        <w:t xml:space="preserve"> following three agreements were made in RAN1#105-e for CSI enhancements based on FDD partial reciprocity.</w:t>
      </w:r>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adjustRightInd w:val="0"/>
              <w:snapToGrid w:val="0"/>
              <w:spacing w:after="0" w:line="240" w:lineRule="auto"/>
              <w:rPr>
                <w:rFonts w:ascii="Times New Roman" w:hAnsi="Times New Roman"/>
                <w:b/>
                <w:bCs/>
                <w:sz w:val="20"/>
                <w:szCs w:val="20"/>
              </w:rPr>
            </w:pPr>
            <w:r>
              <w:rPr>
                <w:rFonts w:ascii="Times New Roman" w:hAnsi="Times New Roman"/>
                <w:b/>
                <w:bCs/>
                <w:sz w:val="20"/>
                <w:szCs w:val="20"/>
              </w:rPr>
              <w:t>Agreement #1</w:t>
            </w:r>
          </w:p>
          <w:p>
            <w:pPr>
              <w:shd w:val="clear" w:color="auto" w:fill="FFFFFF"/>
              <w:adjustRightInd w:val="0"/>
              <w:snapToGrid w:val="0"/>
              <w:spacing w:after="0" w:line="240" w:lineRule="auto"/>
              <w:jc w:val="both"/>
              <w:rPr>
                <w:rFonts w:ascii="Times New Roman" w:hAnsi="Times New Roman" w:eastAsia="宋体"/>
                <w:bCs/>
                <w:iCs/>
                <w:sz w:val="20"/>
                <w:szCs w:val="20"/>
              </w:rPr>
            </w:pPr>
            <w:r>
              <w:rPr>
                <w:rFonts w:ascii="Times New Roman" w:hAnsi="Times New Roman" w:eastAsia="宋体"/>
                <w:bCs/>
                <w:iCs/>
                <w:sz w:val="20"/>
                <w:szCs w:val="20"/>
              </w:rPr>
              <w:t xml:space="preserve">Following working assumption is confirmed (with revision in </w:t>
            </w:r>
            <w:r>
              <w:rPr>
                <w:rFonts w:ascii="Times New Roman" w:hAnsi="Times New Roman" w:eastAsia="宋体"/>
                <w:bCs/>
                <w:iCs/>
                <w:color w:val="FF0000"/>
                <w:sz w:val="20"/>
                <w:szCs w:val="20"/>
              </w:rPr>
              <w:t>RED</w:t>
            </w:r>
            <w:r>
              <w:rPr>
                <w:rFonts w:ascii="Times New Roman" w:hAnsi="Times New Roman" w:eastAsia="宋体"/>
                <w:bCs/>
                <w:iCs/>
                <w:sz w:val="20"/>
                <w:szCs w:val="20"/>
              </w:rPr>
              <w:t>):</w:t>
            </w:r>
          </w:p>
          <w:p>
            <w:pPr>
              <w:pStyle w:val="97"/>
              <w:widowControl w:val="0"/>
              <w:numPr>
                <w:ilvl w:val="0"/>
                <w:numId w:val="11"/>
              </w:numPr>
              <w:shd w:val="clear" w:color="auto" w:fill="FFFFFF"/>
              <w:adjustRightInd w:val="0"/>
              <w:snapToGrid w:val="0"/>
              <w:spacing w:after="0" w:line="240" w:lineRule="auto"/>
              <w:ind w:leftChars="0"/>
              <w:jc w:val="both"/>
              <w:rPr>
                <w:rFonts w:ascii="Times New Roman" w:hAnsi="Times New Roman" w:eastAsia="宋体"/>
                <w:bCs/>
                <w:iCs/>
                <w:sz w:val="20"/>
                <w:szCs w:val="20"/>
              </w:rPr>
            </w:pPr>
            <w:r>
              <w:rPr>
                <w:rFonts w:ascii="Times New Roman" w:hAnsi="Times New Roman" w:eastAsia="宋体"/>
                <w:bCs/>
                <w:iCs/>
                <w:sz w:val="20"/>
                <w:szCs w:val="20"/>
              </w:rPr>
              <w:t xml:space="preserve">At least for rank 1 </w:t>
            </w:r>
            <w:r>
              <w:rPr>
                <w:rFonts w:ascii="Times New Roman" w:hAnsi="Times New Roman" w:eastAsia="宋体"/>
                <w:bCs/>
                <w:iCs/>
                <w:color w:val="FF0000"/>
                <w:sz w:val="20"/>
                <w:szCs w:val="20"/>
              </w:rPr>
              <w:t>and 2</w:t>
            </w:r>
            <w:r>
              <w:rPr>
                <w:rFonts w:ascii="Times New Roman" w:hAnsi="Times New Roman" w:eastAsia="宋体"/>
                <w:bCs/>
                <w:iCs/>
                <w:sz w:val="20"/>
                <w:szCs w:val="20"/>
              </w:rPr>
              <w:t>, FD bases used for W</w:t>
            </w:r>
            <w:r>
              <w:rPr>
                <w:rFonts w:ascii="Times New Roman" w:hAnsi="Times New Roman" w:eastAsia="宋体"/>
                <w:bCs/>
                <w:iCs/>
                <w:sz w:val="20"/>
                <w:szCs w:val="20"/>
                <w:vertAlign w:val="subscript"/>
              </w:rPr>
              <w:t>f</w:t>
            </w:r>
            <w:r>
              <w:rPr>
                <w:rFonts w:ascii="Times New Roman" w:hAnsi="Times New Roman" w:eastAsia="宋体"/>
                <w:bCs/>
                <w:iCs/>
                <w:sz w:val="20"/>
                <w:szCs w:val="20"/>
              </w:rPr>
              <w:t xml:space="preserve"> quantization are limited within a single window with size N configured to the UE whereas FD bases in the window must be consecutive from an orthogonal DFT matrix, i.e. Alt 1.</w:t>
            </w:r>
          </w:p>
          <w:p>
            <w:pPr>
              <w:pStyle w:val="97"/>
              <w:widowControl w:val="0"/>
              <w:numPr>
                <w:ilvl w:val="0"/>
                <w:numId w:val="11"/>
              </w:numPr>
              <w:shd w:val="clear" w:color="auto" w:fill="FFFFFF"/>
              <w:adjustRightInd w:val="0"/>
              <w:snapToGrid w:val="0"/>
              <w:spacing w:after="0" w:line="240" w:lineRule="auto"/>
              <w:ind w:leftChars="0"/>
              <w:jc w:val="both"/>
              <w:rPr>
                <w:rFonts w:ascii="Times New Roman" w:hAnsi="Times New Roman" w:eastAsia="宋体"/>
                <w:bCs/>
                <w:iCs/>
                <w:sz w:val="20"/>
                <w:szCs w:val="20"/>
              </w:rPr>
            </w:pPr>
            <w:r>
              <w:rPr>
                <w:rFonts w:ascii="Times New Roman" w:hAnsi="Times New Roman" w:eastAsia="宋体"/>
                <w:bCs/>
                <w:iCs/>
                <w:sz w:val="20"/>
                <w:szCs w:val="20"/>
              </w:rPr>
              <w:t>FFS other restrictions, e.g. value(s) of N, if the value of N</w:t>
            </w:r>
            <w:r>
              <w:rPr>
                <w:rFonts w:ascii="Times New Roman" w:hAnsi="Times New Roman" w:eastAsia="宋体"/>
                <w:bCs/>
                <w:iCs/>
                <w:sz w:val="20"/>
                <w:szCs w:val="20"/>
                <w:vertAlign w:val="subscript"/>
              </w:rPr>
              <w:t>3</w:t>
            </w:r>
            <w:r>
              <w:rPr>
                <w:rFonts w:ascii="Times New Roman" w:hAnsi="Times New Roman" w:eastAsia="宋体"/>
                <w:bCs/>
                <w:iCs/>
                <w:sz w:val="20"/>
                <w:szCs w:val="20"/>
              </w:rPr>
              <w:t xml:space="preserve"> is small</w:t>
            </w:r>
          </w:p>
          <w:p>
            <w:pPr>
              <w:pStyle w:val="97"/>
              <w:widowControl w:val="0"/>
              <w:numPr>
                <w:ilvl w:val="0"/>
                <w:numId w:val="11"/>
              </w:numPr>
              <w:shd w:val="clear" w:color="auto" w:fill="FFFFFF"/>
              <w:adjustRightInd w:val="0"/>
              <w:snapToGrid w:val="0"/>
              <w:spacing w:after="0" w:line="240" w:lineRule="auto"/>
              <w:ind w:leftChars="0"/>
              <w:jc w:val="both"/>
              <w:rPr>
                <w:rFonts w:ascii="Times New Roman" w:hAnsi="Times New Roman" w:eastAsia="宋体"/>
                <w:bCs/>
                <w:iCs/>
                <w:sz w:val="20"/>
                <w:szCs w:val="20"/>
              </w:rPr>
            </w:pPr>
            <w:r>
              <w:rPr>
                <w:rFonts w:ascii="Times New Roman" w:hAnsi="Times New Roman" w:eastAsia="宋体"/>
                <w:bCs/>
                <w:iCs/>
                <w:sz w:val="20"/>
                <w:szCs w:val="20"/>
              </w:rPr>
              <w:t>FFS other restrictions, e.g. when the number of CSI-RS ports is small</w:t>
            </w:r>
          </w:p>
          <w:p>
            <w:pPr>
              <w:snapToGrid w:val="0"/>
              <w:spacing w:after="0" w:line="240" w:lineRule="auto"/>
              <w:jc w:val="both"/>
              <w:rPr>
                <w:rFonts w:ascii="Times New Roman" w:hAnsi="Times New Roman"/>
                <w:b/>
                <w:bCs/>
                <w:sz w:val="20"/>
                <w:szCs w:val="20"/>
              </w:rPr>
            </w:pPr>
            <w:r>
              <w:rPr>
                <w:rFonts w:ascii="Times New Roman" w:hAnsi="Times New Roman"/>
                <w:b/>
                <w:bCs/>
                <w:sz w:val="20"/>
                <w:szCs w:val="20"/>
              </w:rPr>
              <w:t>Conclusion #1</w:t>
            </w:r>
          </w:p>
          <w:p>
            <w:pPr>
              <w:shd w:val="clear" w:color="auto" w:fill="FFFFFF"/>
              <w:snapToGrid w:val="0"/>
              <w:spacing w:after="0" w:line="240" w:lineRule="auto"/>
              <w:jc w:val="both"/>
              <w:rPr>
                <w:rFonts w:ascii="Times New Roman" w:hAnsi="Times New Roman" w:eastAsia="宋体"/>
                <w:bCs/>
                <w:sz w:val="20"/>
                <w:szCs w:val="20"/>
              </w:rPr>
            </w:pPr>
            <w:r>
              <w:rPr>
                <w:rFonts w:ascii="Times New Roman" w:hAnsi="Times New Roman" w:eastAsia="宋体"/>
                <w:bCs/>
                <w:sz w:val="20"/>
                <w:szCs w:val="20"/>
              </w:rPr>
              <w:t>For Rel-17 PS codebook, there is no consensus on the support of M</w:t>
            </w:r>
            <w:r>
              <w:rPr>
                <w:rFonts w:ascii="Times New Roman" w:hAnsi="Times New Roman" w:eastAsia="宋体"/>
                <w:bCs/>
                <w:sz w:val="20"/>
                <w:szCs w:val="20"/>
                <w:vertAlign w:val="subscript"/>
              </w:rPr>
              <w:t>v</w:t>
            </w:r>
            <w:r>
              <w:rPr>
                <w:rFonts w:ascii="Times New Roman" w:hAnsi="Times New Roman" w:eastAsia="宋体"/>
                <w:bCs/>
                <w:sz w:val="20"/>
                <w:szCs w:val="20"/>
              </w:rPr>
              <w:t>&gt;2 for W</w:t>
            </w:r>
            <w:r>
              <w:rPr>
                <w:rFonts w:ascii="Times New Roman" w:hAnsi="Times New Roman" w:eastAsia="宋体"/>
                <w:bCs/>
                <w:sz w:val="20"/>
                <w:szCs w:val="20"/>
                <w:vertAlign w:val="subscript"/>
              </w:rPr>
              <w:t>f</w:t>
            </w:r>
            <w:r>
              <w:rPr>
                <w:rFonts w:ascii="Times New Roman" w:hAnsi="Times New Roman" w:eastAsia="宋体"/>
                <w:bCs/>
                <w:sz w:val="20"/>
                <w:szCs w:val="20"/>
              </w:rPr>
              <w:t>.</w:t>
            </w:r>
          </w:p>
          <w:p>
            <w:pPr>
              <w:adjustRightInd w:val="0"/>
              <w:snapToGrid w:val="0"/>
              <w:spacing w:after="0" w:line="240" w:lineRule="auto"/>
              <w:rPr>
                <w:rFonts w:ascii="Times New Roman" w:hAnsi="Times New Roman"/>
                <w:b/>
                <w:bCs/>
                <w:sz w:val="20"/>
                <w:szCs w:val="20"/>
              </w:rPr>
            </w:pPr>
            <w:r>
              <w:rPr>
                <w:rFonts w:ascii="Times New Roman" w:hAnsi="Times New Roman"/>
                <w:b/>
                <w:bCs/>
                <w:sz w:val="20"/>
                <w:szCs w:val="20"/>
              </w:rPr>
              <w:t>Agreement #2</w:t>
            </w:r>
          </w:p>
          <w:p>
            <w:pPr>
              <w:adjustRightInd w:val="0"/>
              <w:snapToGrid w:val="0"/>
              <w:spacing w:after="0" w:line="240" w:lineRule="auto"/>
              <w:jc w:val="both"/>
              <w:rPr>
                <w:rFonts w:ascii="Times New Roman" w:hAnsi="Times New Roman" w:eastAsia="Malgun Gothic"/>
                <w:bCs/>
                <w:kern w:val="2"/>
                <w:sz w:val="20"/>
                <w:szCs w:val="20"/>
              </w:rPr>
            </w:pPr>
            <w:r>
              <w:rPr>
                <w:rFonts w:ascii="Times New Roman" w:hAnsi="Times New Roman" w:eastAsia="MS Mincho"/>
                <w:sz w:val="20"/>
                <w:szCs w:val="20"/>
                <w:lang w:eastAsia="ja-JP"/>
              </w:rPr>
              <w:t>For Rel-17 PS codebook, the reserved state for reference amplitude is to be reserved as Rel-16 PS codebook.</w:t>
            </w:r>
          </w:p>
          <w:p>
            <w:pPr>
              <w:autoSpaceDE w:val="0"/>
              <w:autoSpaceDN w:val="0"/>
              <w:adjustRightInd w:val="0"/>
              <w:snapToGrid w:val="0"/>
              <w:spacing w:after="0" w:line="240" w:lineRule="auto"/>
              <w:jc w:val="both"/>
              <w:rPr>
                <w:rFonts w:ascii="Times New Roman" w:hAnsi="Times New Roman" w:eastAsia="MS Mincho"/>
                <w:b/>
                <w:sz w:val="20"/>
                <w:szCs w:val="20"/>
                <w:lang w:eastAsia="ja-JP"/>
              </w:rPr>
            </w:pPr>
            <w:r>
              <w:rPr>
                <w:rFonts w:ascii="Times New Roman" w:hAnsi="Times New Roman" w:eastAsia="MS Mincho"/>
                <w:b/>
                <w:sz w:val="20"/>
                <w:szCs w:val="20"/>
                <w:lang w:eastAsia="ja-JP"/>
              </w:rPr>
              <w:t>Agreement #3</w:t>
            </w:r>
          </w:p>
          <w:p>
            <w:pPr>
              <w:shd w:val="clear" w:color="auto" w:fill="FFFFFF"/>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For Rel-17 PS codebook, support reporting of the position, [i</w:t>
            </w:r>
            <w:r>
              <w:rPr>
                <w:rFonts w:ascii="Times New Roman" w:hAnsi="Times New Roman" w:eastAsia="宋体"/>
                <w:sz w:val="20"/>
                <w:szCs w:val="20"/>
                <w:vertAlign w:val="subscript"/>
              </w:rPr>
              <w:t>l</w:t>
            </w:r>
            <w:r>
              <w:rPr>
                <w:rFonts w:ascii="Times New Roman" w:hAnsi="Times New Roman" w:eastAsia="宋体"/>
                <w:sz w:val="20"/>
                <w:szCs w:val="20"/>
              </w:rPr>
              <w:t>*, f</w:t>
            </w:r>
            <w:r>
              <w:rPr>
                <w:rFonts w:ascii="Times New Roman" w:hAnsi="Times New Roman" w:eastAsia="宋体"/>
                <w:sz w:val="20"/>
                <w:szCs w:val="20"/>
                <w:vertAlign w:val="subscript"/>
              </w:rPr>
              <w:t>l</w:t>
            </w:r>
            <w:r>
              <w:rPr>
                <w:rFonts w:ascii="Times New Roman" w:hAnsi="Times New Roman" w:eastAsia="宋体"/>
                <w:sz w:val="20"/>
                <w:szCs w:val="20"/>
              </w:rPr>
              <w:t>*], of the strongest coefficient (SCI) of layer l, using ceil(log2(K</w:t>
            </w:r>
            <w:r>
              <w:rPr>
                <w:rFonts w:ascii="Times New Roman" w:hAnsi="Times New Roman" w:eastAsia="宋体"/>
                <w:sz w:val="20"/>
                <w:szCs w:val="20"/>
                <w:vertAlign w:val="subscript"/>
              </w:rPr>
              <w:t>1</w:t>
            </w:r>
            <w:r>
              <w:rPr>
                <w:rFonts w:ascii="Times New Roman" w:hAnsi="Times New Roman" w:eastAsia="宋体"/>
                <w:sz w:val="20"/>
                <w:szCs w:val="20"/>
              </w:rPr>
              <w:t>*M</w:t>
            </w:r>
            <w:r>
              <w:rPr>
                <w:rFonts w:ascii="Times New Roman" w:hAnsi="Times New Roman" w:eastAsia="宋体"/>
                <w:sz w:val="20"/>
                <w:szCs w:val="20"/>
                <w:vertAlign w:val="subscript"/>
              </w:rPr>
              <w:t>v</w:t>
            </w:r>
            <w:r>
              <w:rPr>
                <w:rFonts w:ascii="Times New Roman" w:hAnsi="Times New Roman" w:eastAsia="宋体"/>
                <w:sz w:val="20"/>
                <w:szCs w:val="20"/>
              </w:rPr>
              <w:t>)) bits</w:t>
            </w:r>
          </w:p>
          <w:p>
            <w:pPr>
              <w:shd w:val="clear" w:color="auto" w:fill="FFFFFF"/>
              <w:adjustRightInd w:val="0"/>
              <w:snapToGrid w:val="0"/>
              <w:spacing w:after="0" w:line="240" w:lineRule="auto"/>
              <w:rPr>
                <w:rStyle w:val="31"/>
                <w:rFonts w:ascii="Times New Roman" w:hAnsi="Times New Roman"/>
                <w:sz w:val="20"/>
                <w:szCs w:val="20"/>
              </w:rPr>
            </w:pPr>
            <w:r>
              <w:rPr>
                <w:rStyle w:val="31"/>
                <w:rFonts w:ascii="Times New Roman" w:hAnsi="Times New Roman" w:eastAsia="宋体"/>
                <w:sz w:val="20"/>
                <w:szCs w:val="20"/>
              </w:rPr>
              <w:t>Agreement #4</w:t>
            </w:r>
          </w:p>
          <w:p>
            <w:pPr>
              <w:shd w:val="clear" w:color="auto" w:fill="FFFFFF"/>
              <w:adjustRightInd w:val="0"/>
              <w:snapToGrid w:val="0"/>
              <w:spacing w:after="0" w:line="240" w:lineRule="auto"/>
              <w:rPr>
                <w:rStyle w:val="31"/>
                <w:rFonts w:ascii="Times New Roman" w:hAnsi="Times New Roman"/>
                <w:b w:val="0"/>
                <w:bCs/>
                <w:sz w:val="20"/>
                <w:szCs w:val="20"/>
              </w:rPr>
            </w:pPr>
            <w:r>
              <w:rPr>
                <w:rStyle w:val="31"/>
                <w:rFonts w:ascii="Times New Roman" w:hAnsi="Times New Roman" w:eastAsia="宋体"/>
                <w:b w:val="0"/>
                <w:bCs/>
                <w:sz w:val="20"/>
                <w:szCs w:val="20"/>
              </w:rPr>
              <w:t>For Rel-17 PS codebook, support layer-common port selection for rank 2.</w:t>
            </w:r>
          </w:p>
          <w:p>
            <w:pPr>
              <w:adjustRightInd w:val="0"/>
              <w:snapToGrid w:val="0"/>
              <w:spacing w:after="0" w:line="240" w:lineRule="auto"/>
              <w:rPr>
                <w:rFonts w:ascii="Times New Roman" w:hAnsi="Times New Roman" w:eastAsia="Times New Roman"/>
                <w:b/>
                <w:bCs/>
                <w:sz w:val="20"/>
                <w:szCs w:val="20"/>
              </w:rPr>
            </w:pPr>
            <w:r>
              <w:rPr>
                <w:rFonts w:ascii="Times New Roman" w:hAnsi="Times New Roman" w:eastAsia="Times New Roman"/>
                <w:b/>
                <w:bCs/>
                <w:sz w:val="20"/>
                <w:szCs w:val="20"/>
              </w:rPr>
              <w:t>Agreement #5</w:t>
            </w:r>
          </w:p>
          <w:p>
            <w:pPr>
              <w:shd w:val="clear" w:color="auto" w:fill="FFFFFF"/>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Support parameter combinations represented by (alpha, M</w:t>
            </w:r>
            <w:r>
              <w:rPr>
                <w:rFonts w:ascii="Times New Roman" w:hAnsi="Times New Roman" w:eastAsia="宋体"/>
                <w:sz w:val="20"/>
                <w:szCs w:val="20"/>
                <w:vertAlign w:val="subscript"/>
              </w:rPr>
              <w:t>v</w:t>
            </w:r>
            <w:r>
              <w:rPr>
                <w:rFonts w:ascii="Times New Roman" w:hAnsi="Times New Roman" w:eastAsia="宋体"/>
                <w:sz w:val="20"/>
                <w:szCs w:val="20"/>
              </w:rPr>
              <w:t>, beta) with K</w:t>
            </w:r>
            <w:r>
              <w:rPr>
                <w:rFonts w:ascii="Times New Roman" w:hAnsi="Times New Roman" w:eastAsia="宋体"/>
                <w:sz w:val="20"/>
                <w:szCs w:val="20"/>
                <w:vertAlign w:val="subscript"/>
              </w:rPr>
              <w:t>1</w:t>
            </w:r>
            <w:r>
              <w:rPr>
                <w:rFonts w:ascii="Times New Roman" w:hAnsi="Times New Roman" w:eastAsia="宋体"/>
                <w:sz w:val="20"/>
                <w:szCs w:val="20"/>
              </w:rPr>
              <w:t xml:space="preserve"> = alpha*P for Rel-17 PS codebook</w:t>
            </w:r>
          </w:p>
          <w:p>
            <w:pPr>
              <w:pStyle w:val="97"/>
              <w:widowControl w:val="0"/>
              <w:numPr>
                <w:ilvl w:val="0"/>
                <w:numId w:val="12"/>
              </w:numPr>
              <w:shd w:val="clear" w:color="auto" w:fill="FFFFFF"/>
              <w:adjustRightInd w:val="0"/>
              <w:snapToGrid w:val="0"/>
              <w:spacing w:after="0" w:line="240" w:lineRule="auto"/>
              <w:ind w:leftChars="0"/>
              <w:jc w:val="both"/>
              <w:rPr>
                <w:rFonts w:ascii="Times New Roman" w:hAnsi="Times New Roman" w:eastAsia="宋体"/>
                <w:sz w:val="20"/>
                <w:szCs w:val="20"/>
              </w:rPr>
            </w:pPr>
            <w:r>
              <w:rPr>
                <w:rFonts w:ascii="Times New Roman" w:hAnsi="Times New Roman" w:eastAsia="宋体"/>
                <w:sz w:val="20"/>
                <w:szCs w:val="20"/>
              </w:rPr>
              <w:t>The candidate values of alpha are {1/2, 3/4, 1}</w:t>
            </w:r>
          </w:p>
          <w:p>
            <w:pPr>
              <w:pStyle w:val="97"/>
              <w:widowControl w:val="0"/>
              <w:numPr>
                <w:ilvl w:val="0"/>
                <w:numId w:val="12"/>
              </w:numPr>
              <w:shd w:val="clear" w:color="auto" w:fill="FFFFFF"/>
              <w:adjustRightInd w:val="0"/>
              <w:snapToGrid w:val="0"/>
              <w:spacing w:after="0" w:line="240" w:lineRule="auto"/>
              <w:ind w:leftChars="0"/>
              <w:jc w:val="both"/>
              <w:rPr>
                <w:rFonts w:ascii="Times New Roman" w:hAnsi="Times New Roman" w:eastAsia="宋体"/>
                <w:sz w:val="20"/>
                <w:szCs w:val="20"/>
              </w:rPr>
            </w:pPr>
            <w:r>
              <w:rPr>
                <w:rFonts w:ascii="Times New Roman" w:hAnsi="Times New Roman" w:eastAsia="宋体"/>
                <w:sz w:val="20"/>
                <w:szCs w:val="20"/>
              </w:rPr>
              <w:t xml:space="preserve">Note that exact parameter combination will be discussed from RAN1 106bis: </w:t>
            </w:r>
          </w:p>
          <w:p>
            <w:pPr>
              <w:pStyle w:val="97"/>
              <w:widowControl w:val="0"/>
              <w:numPr>
                <w:ilvl w:val="1"/>
                <w:numId w:val="12"/>
              </w:numPr>
              <w:shd w:val="clear" w:color="auto" w:fill="FFFFFF"/>
              <w:adjustRightInd w:val="0"/>
              <w:snapToGrid w:val="0"/>
              <w:spacing w:after="0" w:line="240" w:lineRule="auto"/>
              <w:ind w:leftChars="0"/>
              <w:jc w:val="both"/>
              <w:rPr>
                <w:rFonts w:ascii="Times New Roman" w:hAnsi="Times New Roman" w:eastAsia="宋体"/>
                <w:sz w:val="20"/>
                <w:szCs w:val="20"/>
              </w:rPr>
            </w:pPr>
            <w:r>
              <w:rPr>
                <w:rFonts w:ascii="Times New Roman" w:hAnsi="Times New Roman" w:eastAsia="宋体"/>
                <w:sz w:val="20"/>
                <w:szCs w:val="20"/>
              </w:rPr>
              <w:t>based on trade-off among UPT performance, feedback overhead, and complexity</w:t>
            </w:r>
          </w:p>
          <w:p>
            <w:pPr>
              <w:pStyle w:val="97"/>
              <w:widowControl w:val="0"/>
              <w:numPr>
                <w:ilvl w:val="1"/>
                <w:numId w:val="12"/>
              </w:numPr>
              <w:shd w:val="clear" w:color="auto" w:fill="FFFFFF"/>
              <w:adjustRightInd w:val="0"/>
              <w:snapToGrid w:val="0"/>
              <w:spacing w:after="0" w:line="240" w:lineRule="auto"/>
              <w:ind w:leftChars="0"/>
              <w:jc w:val="both"/>
              <w:rPr>
                <w:rFonts w:ascii="Times New Roman" w:hAnsi="Times New Roman" w:eastAsia="宋体"/>
                <w:sz w:val="20"/>
                <w:szCs w:val="20"/>
              </w:rPr>
            </w:pPr>
            <w:r>
              <w:rPr>
                <w:rFonts w:ascii="Times New Roman" w:hAnsi="Times New Roman" w:eastAsia="宋体"/>
                <w:sz w:val="20"/>
                <w:szCs w:val="20"/>
              </w:rPr>
              <w:t>based on all supported ranks</w:t>
            </w:r>
          </w:p>
          <w:p>
            <w:pPr>
              <w:pStyle w:val="97"/>
              <w:widowControl w:val="0"/>
              <w:numPr>
                <w:ilvl w:val="1"/>
                <w:numId w:val="12"/>
              </w:numPr>
              <w:shd w:val="clear" w:color="auto" w:fill="FFFFFF"/>
              <w:adjustRightInd w:val="0"/>
              <w:snapToGrid w:val="0"/>
              <w:spacing w:after="0" w:line="240" w:lineRule="auto"/>
              <w:ind w:leftChars="0"/>
              <w:jc w:val="both"/>
              <w:rPr>
                <w:rFonts w:ascii="Times New Roman" w:hAnsi="Times New Roman" w:eastAsia="宋体"/>
                <w:sz w:val="20"/>
                <w:szCs w:val="20"/>
              </w:rPr>
            </w:pPr>
            <w:r>
              <w:rPr>
                <w:rFonts w:ascii="Times New Roman" w:hAnsi="Times New Roman" w:eastAsia="宋体"/>
                <w:sz w:val="20"/>
                <w:szCs w:val="20"/>
              </w:rPr>
              <w:t>Limit total number of parameter combinations comparable to Rel-16 eType II</w:t>
            </w:r>
          </w:p>
          <w:p>
            <w:pPr>
              <w:pStyle w:val="97"/>
              <w:widowControl w:val="0"/>
              <w:numPr>
                <w:ilvl w:val="0"/>
                <w:numId w:val="12"/>
              </w:numPr>
              <w:shd w:val="clear" w:color="auto" w:fill="FFFFFF"/>
              <w:adjustRightInd w:val="0"/>
              <w:snapToGrid w:val="0"/>
              <w:spacing w:after="0" w:line="240" w:lineRule="auto"/>
              <w:ind w:leftChars="0"/>
              <w:jc w:val="both"/>
              <w:rPr>
                <w:rFonts w:ascii="Times New Roman" w:hAnsi="Times New Roman" w:eastAsia="宋体"/>
                <w:sz w:val="20"/>
                <w:szCs w:val="20"/>
              </w:rPr>
            </w:pPr>
            <w:r>
              <w:rPr>
                <w:rFonts w:ascii="Times New Roman" w:hAnsi="Times New Roman" w:eastAsia="宋体"/>
                <w:sz w:val="20"/>
                <w:szCs w:val="20"/>
              </w:rPr>
              <w:t>M</w:t>
            </w:r>
            <w:r>
              <w:rPr>
                <w:rFonts w:ascii="Times New Roman" w:hAnsi="Times New Roman" w:eastAsia="宋体"/>
                <w:sz w:val="20"/>
                <w:szCs w:val="20"/>
                <w:vertAlign w:val="subscript"/>
              </w:rPr>
              <w:t>v</w:t>
            </w:r>
            <w:r>
              <w:rPr>
                <w:rFonts w:ascii="Times New Roman" w:hAnsi="Times New Roman" w:eastAsia="宋体"/>
                <w:sz w:val="20"/>
                <w:szCs w:val="20"/>
              </w:rPr>
              <w:t>={1, 2} and beta = {[1/4], 1/2, 3/4, 1} are from previous agreements</w:t>
            </w:r>
          </w:p>
          <w:p>
            <w:pPr>
              <w:pStyle w:val="26"/>
              <w:adjustRightInd w:val="0"/>
              <w:snapToGrid w:val="0"/>
              <w:rPr>
                <w:rStyle w:val="31"/>
                <w:rFonts w:ascii="Times New Roman" w:hAnsi="Times New Roman" w:cs="Times New Roman"/>
                <w:sz w:val="20"/>
                <w:szCs w:val="20"/>
              </w:rPr>
            </w:pPr>
            <w:r>
              <w:rPr>
                <w:rStyle w:val="31"/>
                <w:rFonts w:ascii="Times New Roman" w:hAnsi="Times New Roman" w:eastAsia="宋体" w:cs="Times New Roman"/>
                <w:sz w:val="20"/>
                <w:szCs w:val="20"/>
              </w:rPr>
              <w:t>Agreement #6</w:t>
            </w:r>
          </w:p>
          <w:p>
            <w:pPr>
              <w:pStyle w:val="26"/>
              <w:jc w:val="both"/>
              <w:rPr>
                <w:rFonts w:ascii="Times" w:hAnsi="Times" w:cs="Times"/>
                <w:sz w:val="20"/>
                <w:szCs w:val="20"/>
              </w:rPr>
            </w:pPr>
            <w:r>
              <w:rPr>
                <w:rFonts w:ascii="Times" w:hAnsi="Times" w:cs="Times"/>
                <w:sz w:val="20"/>
                <w:szCs w:val="20"/>
              </w:rPr>
              <w:t>For Rel-17 PS codebook with Rank 2, support layer-specific bitmap for indicating non-zero coefficient selection of W</w:t>
            </w:r>
            <w:r>
              <w:rPr>
                <w:rFonts w:ascii="Times" w:hAnsi="Times" w:cs="Times"/>
                <w:sz w:val="20"/>
                <w:szCs w:val="20"/>
                <w:vertAlign w:val="subscript"/>
              </w:rPr>
              <w:t>2</w:t>
            </w:r>
            <w:r>
              <w:rPr>
                <w:rFonts w:ascii="Times" w:hAnsi="Times" w:cs="Times"/>
                <w:sz w:val="20"/>
                <w:szCs w:val="20"/>
              </w:rPr>
              <w:t>.</w:t>
            </w:r>
          </w:p>
          <w:p>
            <w:pPr>
              <w:pStyle w:val="26"/>
              <w:adjustRightInd w:val="0"/>
              <w:snapToGrid w:val="0"/>
              <w:rPr>
                <w:rStyle w:val="31"/>
                <w:rFonts w:ascii="Times New Roman" w:hAnsi="Times New Roman" w:cs="Times New Roman"/>
                <w:sz w:val="20"/>
                <w:szCs w:val="20"/>
              </w:rPr>
            </w:pPr>
            <w:r>
              <w:rPr>
                <w:rStyle w:val="31"/>
                <w:rFonts w:ascii="Times New Roman" w:hAnsi="Times New Roman" w:eastAsia="宋体" w:cs="Times New Roman"/>
                <w:sz w:val="20"/>
                <w:szCs w:val="20"/>
              </w:rPr>
              <w:t>Agreement #7</w:t>
            </w:r>
          </w:p>
          <w:p>
            <w:pPr>
              <w:shd w:val="clear" w:color="auto" w:fill="FFFFFF"/>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Support rank 3 and 4 for Rel-17 PS codebook with following:</w:t>
            </w:r>
          </w:p>
          <w:p>
            <w:pPr>
              <w:pStyle w:val="97"/>
              <w:widowControl w:val="0"/>
              <w:numPr>
                <w:ilvl w:val="0"/>
                <w:numId w:val="13"/>
              </w:numPr>
              <w:shd w:val="clear" w:color="auto" w:fill="FFFFFF"/>
              <w:adjustRightInd w:val="0"/>
              <w:snapToGrid w:val="0"/>
              <w:spacing w:after="0" w:line="240" w:lineRule="auto"/>
              <w:ind w:leftChars="0"/>
              <w:jc w:val="both"/>
              <w:rPr>
                <w:rFonts w:ascii="Times New Roman" w:hAnsi="Times New Roman" w:eastAsia="宋体"/>
                <w:sz w:val="20"/>
                <w:szCs w:val="20"/>
              </w:rPr>
            </w:pPr>
            <w:r>
              <w:rPr>
                <w:rFonts w:ascii="Times New Roman" w:hAnsi="Times New Roman" w:eastAsia="宋体"/>
                <w:sz w:val="20"/>
                <w:szCs w:val="20"/>
              </w:rPr>
              <w:t>Supporting ranks 3 and 4 is optional with separate UE capability (same as Rel-16 PS codebook)</w:t>
            </w:r>
          </w:p>
          <w:p>
            <w:pPr>
              <w:pStyle w:val="97"/>
              <w:widowControl w:val="0"/>
              <w:numPr>
                <w:ilvl w:val="0"/>
                <w:numId w:val="13"/>
              </w:numPr>
              <w:shd w:val="clear" w:color="auto" w:fill="FFFFFF"/>
              <w:adjustRightInd w:val="0"/>
              <w:snapToGrid w:val="0"/>
              <w:spacing w:after="0" w:line="240" w:lineRule="auto"/>
              <w:ind w:leftChars="0"/>
              <w:jc w:val="both"/>
              <w:rPr>
                <w:rFonts w:ascii="Times New Roman" w:hAnsi="Times New Roman" w:eastAsia="宋体"/>
                <w:sz w:val="20"/>
                <w:szCs w:val="20"/>
              </w:rPr>
            </w:pPr>
            <w:r>
              <w:rPr>
                <w:rFonts w:ascii="Times New Roman" w:hAnsi="Times New Roman" w:eastAsia="宋体"/>
                <w:sz w:val="20"/>
                <w:szCs w:val="20"/>
              </w:rPr>
              <w:t>The maximal CSI overhead of rank 3 and 4 is comparable to rank 2</w:t>
            </w:r>
          </w:p>
          <w:p>
            <w:pPr>
              <w:pStyle w:val="97"/>
              <w:widowControl w:val="0"/>
              <w:numPr>
                <w:ilvl w:val="1"/>
                <w:numId w:val="13"/>
              </w:numPr>
              <w:shd w:val="clear" w:color="auto" w:fill="FFFFFF"/>
              <w:adjustRightInd w:val="0"/>
              <w:snapToGrid w:val="0"/>
              <w:spacing w:after="0" w:line="240" w:lineRule="auto"/>
              <w:ind w:leftChars="0"/>
              <w:jc w:val="both"/>
              <w:rPr>
                <w:rFonts w:ascii="Times New Roman" w:hAnsi="Times New Roman" w:eastAsia="宋体"/>
                <w:sz w:val="20"/>
                <w:szCs w:val="20"/>
              </w:rPr>
            </w:pPr>
            <w:r>
              <w:rPr>
                <w:rFonts w:ascii="Times New Roman" w:hAnsi="Times New Roman" w:eastAsia="宋体"/>
                <w:sz w:val="20"/>
                <w:szCs w:val="20"/>
              </w:rPr>
              <w:t>FFS: use a smaller K</w:t>
            </w:r>
            <w:r>
              <w:rPr>
                <w:rFonts w:ascii="Times New Roman" w:hAnsi="Times New Roman" w:eastAsia="宋体"/>
                <w:sz w:val="20"/>
                <w:szCs w:val="20"/>
                <w:vertAlign w:val="subscript"/>
              </w:rPr>
              <w:t xml:space="preserve">1 </w:t>
            </w:r>
            <w:r>
              <w:rPr>
                <w:rFonts w:ascii="Times New Roman" w:hAnsi="Times New Roman" w:eastAsia="宋体"/>
                <w:sz w:val="20"/>
                <w:szCs w:val="20"/>
              </w:rPr>
              <w:t>(or alpha) or beta for ranks 3 and 4, or limit the maximum number of non-zero coefficients across all layers to 2K</w:t>
            </w:r>
            <w:r>
              <w:rPr>
                <w:rFonts w:ascii="Times New Roman" w:hAnsi="Times New Roman" w:eastAsia="宋体"/>
                <w:sz w:val="20"/>
                <w:szCs w:val="20"/>
                <w:vertAlign w:val="subscript"/>
              </w:rPr>
              <w:t>0</w:t>
            </w:r>
            <w:r>
              <w:rPr>
                <w:rFonts w:ascii="Times New Roman" w:hAnsi="Times New Roman" w:eastAsia="宋体"/>
                <w:sz w:val="20"/>
                <w:szCs w:val="20"/>
              </w:rPr>
              <w:t xml:space="preserve"> and per layer to K</w:t>
            </w:r>
            <w:r>
              <w:rPr>
                <w:rFonts w:ascii="Times New Roman" w:hAnsi="Times New Roman" w:eastAsia="宋体"/>
                <w:sz w:val="20"/>
                <w:szCs w:val="20"/>
                <w:vertAlign w:val="subscript"/>
              </w:rPr>
              <w:t>0</w:t>
            </w:r>
            <w:r>
              <w:rPr>
                <w:rFonts w:ascii="Times New Roman" w:hAnsi="Times New Roman" w:eastAsia="宋体"/>
                <w:sz w:val="20"/>
                <w:szCs w:val="20"/>
              </w:rPr>
              <w:t xml:space="preserve"> with the same beta</w:t>
            </w:r>
          </w:p>
          <w:p>
            <w:pPr>
              <w:pStyle w:val="97"/>
              <w:widowControl w:val="0"/>
              <w:numPr>
                <w:ilvl w:val="0"/>
                <w:numId w:val="13"/>
              </w:numPr>
              <w:shd w:val="clear" w:color="auto" w:fill="FFFFFF"/>
              <w:adjustRightInd w:val="0"/>
              <w:snapToGrid w:val="0"/>
              <w:spacing w:after="0" w:line="240" w:lineRule="auto"/>
              <w:ind w:leftChars="0"/>
              <w:jc w:val="both"/>
              <w:rPr>
                <w:rFonts w:ascii="Times New Roman" w:hAnsi="Times New Roman" w:eastAsia="宋体"/>
                <w:sz w:val="20"/>
                <w:szCs w:val="20"/>
                <w:lang w:eastAsia="en-US"/>
              </w:rPr>
            </w:pPr>
            <w:r>
              <w:rPr>
                <w:rFonts w:ascii="Times New Roman" w:hAnsi="Times New Roman" w:eastAsia="宋体"/>
                <w:sz w:val="20"/>
                <w:szCs w:val="20"/>
              </w:rPr>
              <w:t>FFS: limit M</w:t>
            </w:r>
            <w:r>
              <w:rPr>
                <w:rFonts w:ascii="Times New Roman" w:hAnsi="Times New Roman" w:eastAsia="宋体"/>
                <w:sz w:val="20"/>
                <w:szCs w:val="20"/>
                <w:vertAlign w:val="subscript"/>
              </w:rPr>
              <w:t>v</w:t>
            </w:r>
            <w:r>
              <w:rPr>
                <w:rFonts w:ascii="Times New Roman" w:hAnsi="Times New Roman" w:eastAsia="宋体"/>
                <w:sz w:val="20"/>
                <w:szCs w:val="20"/>
              </w:rPr>
              <w:t>=1 for ranks 3 and 4 PMI</w:t>
            </w:r>
          </w:p>
          <w:p>
            <w:pPr>
              <w:pStyle w:val="26"/>
              <w:adjustRightInd w:val="0"/>
              <w:snapToGrid w:val="0"/>
              <w:rPr>
                <w:rStyle w:val="31"/>
                <w:rFonts w:ascii="Times New Roman" w:hAnsi="Times New Roman" w:cs="Times New Roman"/>
                <w:sz w:val="20"/>
                <w:szCs w:val="20"/>
              </w:rPr>
            </w:pPr>
            <w:r>
              <w:rPr>
                <w:rStyle w:val="31"/>
                <w:rFonts w:ascii="Times New Roman" w:hAnsi="Times New Roman" w:eastAsia="宋体" w:cs="Times New Roman"/>
                <w:sz w:val="20"/>
                <w:szCs w:val="20"/>
              </w:rPr>
              <w:t>Agreement #8</w:t>
            </w:r>
          </w:p>
          <w:p>
            <w:pPr>
              <w:shd w:val="clear" w:color="auto" w:fill="FFFFFF"/>
              <w:adjustRightInd w:val="0"/>
              <w:snapToGrid w:val="0"/>
              <w:spacing w:after="0" w:line="240" w:lineRule="auto"/>
              <w:jc w:val="both"/>
              <w:rPr>
                <w:rFonts w:ascii="Times New Roman" w:hAnsi="Times New Roman" w:eastAsia="宋体"/>
                <w:bCs/>
                <w:iCs/>
                <w:sz w:val="20"/>
                <w:szCs w:val="20"/>
              </w:rPr>
            </w:pPr>
            <w:r>
              <w:rPr>
                <w:rFonts w:ascii="Times New Roman" w:hAnsi="Times New Roman" w:eastAsia="宋体"/>
                <w:bCs/>
                <w:iCs/>
                <w:sz w:val="20"/>
                <w:szCs w:val="20"/>
              </w:rPr>
              <w:t>At least for rank 1/2 and M</w:t>
            </w:r>
            <w:r>
              <w:rPr>
                <w:rFonts w:ascii="Times New Roman" w:hAnsi="Times New Roman" w:eastAsia="宋体"/>
                <w:bCs/>
                <w:iCs/>
                <w:sz w:val="20"/>
                <w:szCs w:val="20"/>
                <w:vertAlign w:val="subscript"/>
              </w:rPr>
              <w:t>v</w:t>
            </w:r>
            <w:r>
              <w:rPr>
                <w:rFonts w:ascii="Times New Roman" w:hAnsi="Times New Roman" w:eastAsia="宋体"/>
                <w:bCs/>
                <w:iCs/>
                <w:sz w:val="20"/>
                <w:szCs w:val="20"/>
              </w:rPr>
              <w:t xml:space="preserve"> &gt; 1, for relationship between N and M</w:t>
            </w:r>
            <w:r>
              <w:rPr>
                <w:rFonts w:ascii="Times New Roman" w:hAnsi="Times New Roman" w:eastAsia="宋体"/>
                <w:bCs/>
                <w:iCs/>
                <w:sz w:val="20"/>
                <w:szCs w:val="20"/>
                <w:vertAlign w:val="subscript"/>
              </w:rPr>
              <w:t>v</w:t>
            </w:r>
            <w:r>
              <w:rPr>
                <w:rFonts w:ascii="Times New Roman" w:hAnsi="Times New Roman" w:eastAsia="宋体"/>
                <w:bCs/>
                <w:iCs/>
                <w:sz w:val="20"/>
                <w:szCs w:val="20"/>
              </w:rPr>
              <w:t>, support following alternative</w:t>
            </w:r>
          </w:p>
          <w:p>
            <w:pPr>
              <w:pStyle w:val="97"/>
              <w:widowControl w:val="0"/>
              <w:numPr>
                <w:ilvl w:val="0"/>
                <w:numId w:val="14"/>
              </w:numPr>
              <w:shd w:val="clear" w:color="auto" w:fill="FFFFFF"/>
              <w:adjustRightInd w:val="0"/>
              <w:snapToGrid w:val="0"/>
              <w:spacing w:after="0" w:line="240" w:lineRule="auto"/>
              <w:ind w:leftChars="0"/>
              <w:jc w:val="both"/>
              <w:rPr>
                <w:rFonts w:ascii="Times New Roman" w:hAnsi="Times New Roman" w:eastAsia="宋体"/>
                <w:bCs/>
                <w:iCs/>
                <w:sz w:val="20"/>
                <w:szCs w:val="20"/>
              </w:rPr>
            </w:pPr>
            <w:r>
              <w:rPr>
                <w:rFonts w:ascii="Times New Roman" w:hAnsi="Times New Roman" w:eastAsia="宋体"/>
                <w:bCs/>
                <w:iCs/>
                <w:sz w:val="20"/>
                <w:szCs w:val="20"/>
              </w:rPr>
              <w:t>Alt 2-1: N &gt;= M</w:t>
            </w:r>
            <w:r>
              <w:rPr>
                <w:rFonts w:ascii="Times New Roman" w:hAnsi="Times New Roman" w:eastAsia="宋体"/>
                <w:bCs/>
                <w:iCs/>
                <w:sz w:val="20"/>
                <w:szCs w:val="20"/>
                <w:vertAlign w:val="subscript"/>
              </w:rPr>
              <w:t>v</w:t>
            </w:r>
            <w:r>
              <w:rPr>
                <w:rFonts w:ascii="Times New Roman" w:hAnsi="Times New Roman" w:eastAsia="宋体"/>
                <w:bCs/>
                <w:iCs/>
                <w:sz w:val="20"/>
                <w:szCs w:val="20"/>
              </w:rPr>
              <w:t>, W</w:t>
            </w:r>
            <w:r>
              <w:rPr>
                <w:rFonts w:ascii="Times New Roman" w:hAnsi="Times New Roman" w:eastAsia="宋体"/>
                <w:bCs/>
                <w:iCs/>
                <w:sz w:val="20"/>
                <w:szCs w:val="20"/>
                <w:vertAlign w:val="subscript"/>
              </w:rPr>
              <w:t>f</w:t>
            </w:r>
            <w:r>
              <w:rPr>
                <w:rFonts w:ascii="Times New Roman" w:hAnsi="Times New Roman" w:eastAsia="宋体"/>
                <w:bCs/>
                <w:iCs/>
                <w:sz w:val="20"/>
                <w:szCs w:val="20"/>
              </w:rPr>
              <w:t> is layer-common and reported by UE for N&gt;M</w:t>
            </w:r>
            <w:r>
              <w:rPr>
                <w:rFonts w:ascii="Times New Roman" w:hAnsi="Times New Roman" w:eastAsia="宋体"/>
                <w:bCs/>
                <w:iCs/>
                <w:sz w:val="20"/>
                <w:szCs w:val="20"/>
                <w:vertAlign w:val="subscript"/>
              </w:rPr>
              <w:t>v</w:t>
            </w:r>
            <w:r>
              <w:rPr>
                <w:rFonts w:ascii="Times New Roman" w:hAnsi="Times New Roman" w:eastAsia="宋体"/>
                <w:bCs/>
                <w:iCs/>
                <w:sz w:val="20"/>
                <w:szCs w:val="20"/>
              </w:rPr>
              <w:t>.</w:t>
            </w:r>
          </w:p>
          <w:p>
            <w:pPr>
              <w:pStyle w:val="97"/>
              <w:widowControl w:val="0"/>
              <w:numPr>
                <w:ilvl w:val="1"/>
                <w:numId w:val="14"/>
              </w:numPr>
              <w:shd w:val="clear" w:color="auto" w:fill="FFFFFF"/>
              <w:adjustRightInd w:val="0"/>
              <w:snapToGrid w:val="0"/>
              <w:spacing w:after="0" w:line="240" w:lineRule="auto"/>
              <w:ind w:leftChars="0"/>
              <w:jc w:val="both"/>
              <w:rPr>
                <w:rFonts w:ascii="Times New Roman" w:hAnsi="Times New Roman" w:eastAsia="宋体"/>
                <w:bCs/>
                <w:iCs/>
                <w:sz w:val="20"/>
                <w:szCs w:val="20"/>
              </w:rPr>
            </w:pPr>
            <w:r>
              <w:rPr>
                <w:rFonts w:ascii="Times New Roman" w:hAnsi="Times New Roman" w:eastAsia="宋体"/>
                <w:bCs/>
                <w:iCs/>
                <w:sz w:val="20"/>
                <w:szCs w:val="20"/>
              </w:rPr>
              <w:t>For M</w:t>
            </w:r>
            <w:r>
              <w:rPr>
                <w:rFonts w:ascii="Times New Roman" w:hAnsi="Times New Roman" w:eastAsia="宋体"/>
                <w:bCs/>
                <w:iCs/>
                <w:sz w:val="20"/>
                <w:szCs w:val="20"/>
                <w:vertAlign w:val="subscript"/>
              </w:rPr>
              <w:t>v</w:t>
            </w:r>
            <w:r>
              <w:rPr>
                <w:rFonts w:ascii="Times New Roman" w:hAnsi="Times New Roman" w:eastAsia="宋体"/>
                <w:bCs/>
                <w:iCs/>
                <w:sz w:val="20"/>
                <w:szCs w:val="20"/>
              </w:rPr>
              <w:t>=2, N=2 and one value from {3, 4, 5}</w:t>
            </w:r>
          </w:p>
          <w:p>
            <w:pPr>
              <w:pStyle w:val="97"/>
              <w:widowControl w:val="0"/>
              <w:numPr>
                <w:ilvl w:val="2"/>
                <w:numId w:val="14"/>
              </w:numPr>
              <w:shd w:val="clear" w:color="auto" w:fill="FFFFFF"/>
              <w:adjustRightInd w:val="0"/>
              <w:snapToGrid w:val="0"/>
              <w:spacing w:after="0" w:line="240" w:lineRule="auto"/>
              <w:ind w:leftChars="0"/>
              <w:jc w:val="both"/>
              <w:rPr>
                <w:rFonts w:ascii="Times New Roman" w:hAnsi="Times New Roman" w:eastAsia="宋体"/>
                <w:bCs/>
                <w:iCs/>
                <w:sz w:val="20"/>
                <w:szCs w:val="20"/>
              </w:rPr>
            </w:pPr>
            <w:r>
              <w:rPr>
                <w:rFonts w:ascii="Times New Roman" w:hAnsi="Times New Roman" w:eastAsia="宋体"/>
                <w:bCs/>
                <w:iCs/>
                <w:sz w:val="20"/>
                <w:szCs w:val="20"/>
              </w:rPr>
              <w:t>RAN1 to select one value from {3, 4, 5} in RAN1#106bis-e</w:t>
            </w:r>
          </w:p>
          <w:p>
            <w:pPr>
              <w:pStyle w:val="97"/>
              <w:widowControl w:val="0"/>
              <w:numPr>
                <w:ilvl w:val="1"/>
                <w:numId w:val="14"/>
              </w:numPr>
              <w:shd w:val="clear" w:color="auto" w:fill="FFFFFF"/>
              <w:adjustRightInd w:val="0"/>
              <w:snapToGrid w:val="0"/>
              <w:spacing w:after="0" w:line="240" w:lineRule="auto"/>
              <w:ind w:leftChars="0"/>
              <w:jc w:val="both"/>
              <w:rPr>
                <w:rFonts w:ascii="Times New Roman" w:hAnsi="Times New Roman" w:eastAsia="宋体"/>
                <w:bCs/>
                <w:iCs/>
                <w:sz w:val="20"/>
                <w:szCs w:val="20"/>
              </w:rPr>
            </w:pPr>
            <w:r>
              <w:rPr>
                <w:rFonts w:ascii="Times New Roman" w:hAnsi="Times New Roman" w:eastAsia="宋体"/>
                <w:bCs/>
                <w:iCs/>
                <w:sz w:val="20"/>
                <w:szCs w:val="20"/>
              </w:rPr>
              <w:t>FFS: how to report W</w:t>
            </w:r>
            <w:r>
              <w:rPr>
                <w:rFonts w:ascii="Times New Roman" w:hAnsi="Times New Roman" w:eastAsia="宋体"/>
                <w:bCs/>
                <w:iCs/>
                <w:sz w:val="20"/>
                <w:szCs w:val="20"/>
                <w:vertAlign w:val="subscript"/>
              </w:rPr>
              <w:t>f</w:t>
            </w:r>
            <w:r>
              <w:rPr>
                <w:rFonts w:ascii="Times New Roman" w:hAnsi="Times New Roman" w:eastAsia="宋体"/>
                <w:bCs/>
                <w:iCs/>
                <w:sz w:val="20"/>
                <w:szCs w:val="20"/>
              </w:rPr>
              <w:t xml:space="preserve"> in terms of reporting mechanism and associated bits when Mv=2 and N=one value from {3, 4, 5}</w:t>
            </w:r>
          </w:p>
          <w:p>
            <w:pPr>
              <w:shd w:val="clear" w:color="auto" w:fill="FFFFFF"/>
              <w:adjustRightInd w:val="0"/>
              <w:snapToGrid w:val="0"/>
              <w:spacing w:after="0" w:line="240" w:lineRule="auto"/>
              <w:jc w:val="both"/>
              <w:rPr>
                <w:rFonts w:ascii="Times New Roman" w:hAnsi="Times New Roman" w:eastAsia="宋体"/>
                <w:bCs/>
                <w:iCs/>
                <w:sz w:val="20"/>
                <w:szCs w:val="20"/>
              </w:rPr>
            </w:pPr>
            <w:r>
              <w:rPr>
                <w:rFonts w:ascii="Times New Roman" w:hAnsi="Times New Roman" w:eastAsia="宋体"/>
                <w:bCs/>
                <w:iCs/>
                <w:sz w:val="20"/>
                <w:szCs w:val="20"/>
              </w:rPr>
              <w:t>Note: W</w:t>
            </w:r>
            <w:r>
              <w:rPr>
                <w:rFonts w:ascii="Times New Roman" w:hAnsi="Times New Roman" w:eastAsia="宋体"/>
                <w:bCs/>
                <w:iCs/>
                <w:sz w:val="20"/>
                <w:szCs w:val="20"/>
                <w:vertAlign w:val="subscript"/>
              </w:rPr>
              <w:t>f</w:t>
            </w:r>
            <w:r>
              <w:rPr>
                <w:rFonts w:ascii="Times New Roman" w:hAnsi="Times New Roman" w:eastAsia="宋体"/>
                <w:bCs/>
                <w:iCs/>
                <w:sz w:val="20"/>
                <w:szCs w:val="20"/>
              </w:rPr>
              <w:t xml:space="preserve"> is layer-common for N=M</w:t>
            </w:r>
            <w:r>
              <w:rPr>
                <w:rFonts w:ascii="Times New Roman" w:hAnsi="Times New Roman" w:eastAsia="宋体"/>
                <w:bCs/>
                <w:iCs/>
                <w:sz w:val="20"/>
                <w:szCs w:val="20"/>
                <w:vertAlign w:val="subscript"/>
              </w:rPr>
              <w:t>v</w:t>
            </w:r>
          </w:p>
          <w:p>
            <w:pPr>
              <w:shd w:val="clear" w:color="auto" w:fill="FFFFFF"/>
              <w:adjustRightInd w:val="0"/>
              <w:snapToGrid w:val="0"/>
              <w:spacing w:after="0" w:line="240" w:lineRule="auto"/>
              <w:jc w:val="both"/>
              <w:rPr>
                <w:rFonts w:ascii="Times New Roman" w:hAnsi="Times New Roman" w:eastAsia="宋体"/>
                <w:bCs/>
                <w:iCs/>
                <w:sz w:val="20"/>
                <w:szCs w:val="20"/>
              </w:rPr>
            </w:pPr>
            <w:r>
              <w:rPr>
                <w:rFonts w:ascii="Times New Roman" w:hAnsi="Times New Roman" w:eastAsia="宋体"/>
                <w:bCs/>
                <w:iCs/>
                <w:sz w:val="20"/>
                <w:szCs w:val="20"/>
              </w:rPr>
              <w:t>Note: For all alternatives, a layer-common window/set of size N is configured.</w:t>
            </w:r>
          </w:p>
          <w:p>
            <w:pPr>
              <w:pStyle w:val="26"/>
              <w:adjustRightInd w:val="0"/>
              <w:snapToGrid w:val="0"/>
              <w:rPr>
                <w:rStyle w:val="31"/>
                <w:rFonts w:ascii="Times New Roman" w:hAnsi="Times New Roman" w:cs="Times New Roman"/>
                <w:sz w:val="20"/>
                <w:szCs w:val="20"/>
              </w:rPr>
            </w:pPr>
            <w:r>
              <w:rPr>
                <w:rStyle w:val="31"/>
                <w:rFonts w:ascii="Times New Roman" w:hAnsi="Times New Roman" w:eastAsia="宋体" w:cs="Times New Roman"/>
                <w:sz w:val="20"/>
                <w:szCs w:val="20"/>
              </w:rPr>
              <w:t>Agreement #9</w:t>
            </w:r>
          </w:p>
          <w:p>
            <w:pPr>
              <w:shd w:val="clear" w:color="auto" w:fill="FFFFFF"/>
              <w:adjustRightInd w:val="0"/>
              <w:snapToGrid w:val="0"/>
              <w:spacing w:after="0" w:line="240" w:lineRule="auto"/>
              <w:jc w:val="both"/>
              <w:rPr>
                <w:rFonts w:ascii="Times New Roman" w:hAnsi="Times New Roman" w:eastAsia="宋体"/>
                <w:iCs/>
                <w:sz w:val="20"/>
                <w:szCs w:val="20"/>
              </w:rPr>
            </w:pPr>
            <w:r>
              <w:rPr>
                <w:rFonts w:ascii="Times New Roman" w:hAnsi="Times New Roman" w:eastAsia="宋体"/>
                <w:iCs/>
                <w:sz w:val="20"/>
                <w:szCs w:val="20"/>
              </w:rPr>
              <w:t>If a bitmap for indicating non-zero coefficients can be absent, down-select one Alt from the following for Rel-17 PS codebook:</w:t>
            </w:r>
          </w:p>
          <w:p>
            <w:pPr>
              <w:pStyle w:val="97"/>
              <w:widowControl w:val="0"/>
              <w:numPr>
                <w:ilvl w:val="0"/>
                <w:numId w:val="14"/>
              </w:numPr>
              <w:shd w:val="clear" w:color="auto" w:fill="FFFFFF"/>
              <w:adjustRightInd w:val="0"/>
              <w:snapToGrid w:val="0"/>
              <w:spacing w:after="0" w:line="240" w:lineRule="auto"/>
              <w:ind w:leftChars="0"/>
              <w:jc w:val="both"/>
              <w:rPr>
                <w:rFonts w:ascii="Times New Roman" w:hAnsi="Times New Roman" w:eastAsia="宋体"/>
                <w:iCs/>
                <w:sz w:val="20"/>
                <w:szCs w:val="20"/>
              </w:rPr>
            </w:pPr>
            <w:r>
              <w:rPr>
                <w:rFonts w:ascii="Times New Roman" w:hAnsi="Times New Roman" w:eastAsia="宋体"/>
                <w:iCs/>
                <w:sz w:val="20"/>
                <w:szCs w:val="20"/>
              </w:rPr>
              <w:t>Alt 1: At least for rank 1 PMI, the bitmap of indicating non-zero coefficients is not needed if M</w:t>
            </w:r>
            <w:r>
              <w:rPr>
                <w:rFonts w:ascii="Times New Roman" w:hAnsi="Times New Roman" w:eastAsia="宋体"/>
                <w:iCs/>
                <w:sz w:val="20"/>
                <w:szCs w:val="20"/>
                <w:vertAlign w:val="subscript"/>
              </w:rPr>
              <w:t>v</w:t>
            </w:r>
            <w:r>
              <w:rPr>
                <w:rFonts w:ascii="Times New Roman" w:hAnsi="Times New Roman" w:eastAsia="宋体"/>
                <w:iCs/>
                <w:sz w:val="20"/>
                <w:szCs w:val="20"/>
              </w:rPr>
              <w:t>=1 and Beta=1.</w:t>
            </w:r>
          </w:p>
          <w:p>
            <w:pPr>
              <w:pStyle w:val="97"/>
              <w:widowControl w:val="0"/>
              <w:numPr>
                <w:ilvl w:val="1"/>
                <w:numId w:val="14"/>
              </w:numPr>
              <w:shd w:val="clear" w:color="auto" w:fill="FFFFFF"/>
              <w:adjustRightInd w:val="0"/>
              <w:snapToGrid w:val="0"/>
              <w:spacing w:after="0" w:line="240" w:lineRule="auto"/>
              <w:ind w:leftChars="0"/>
              <w:jc w:val="both"/>
              <w:rPr>
                <w:rFonts w:ascii="Times New Roman" w:hAnsi="Times New Roman" w:eastAsia="宋体"/>
                <w:iCs/>
                <w:sz w:val="20"/>
                <w:szCs w:val="20"/>
              </w:rPr>
            </w:pPr>
            <w:r>
              <w:rPr>
                <w:rFonts w:ascii="Times New Roman" w:hAnsi="Times New Roman" w:eastAsia="宋体"/>
                <w:iCs/>
                <w:sz w:val="20"/>
                <w:szCs w:val="20"/>
              </w:rPr>
              <w:t>FFS the need for M</w:t>
            </w:r>
            <w:r>
              <w:rPr>
                <w:rFonts w:ascii="Times New Roman" w:hAnsi="Times New Roman" w:eastAsia="宋体"/>
                <w:iCs/>
                <w:sz w:val="20"/>
                <w:szCs w:val="20"/>
                <w:vertAlign w:val="subscript"/>
              </w:rPr>
              <w:t>v</w:t>
            </w:r>
            <w:r>
              <w:rPr>
                <w:rFonts w:ascii="Times New Roman" w:hAnsi="Times New Roman" w:eastAsia="宋体"/>
                <w:iCs/>
                <w:sz w:val="20"/>
                <w:szCs w:val="20"/>
              </w:rPr>
              <w:t>&gt;1 and/or Beta&lt;1</w:t>
            </w:r>
          </w:p>
          <w:p>
            <w:pPr>
              <w:pStyle w:val="97"/>
              <w:widowControl w:val="0"/>
              <w:numPr>
                <w:ilvl w:val="0"/>
                <w:numId w:val="14"/>
              </w:numPr>
              <w:shd w:val="clear" w:color="auto" w:fill="FFFFFF"/>
              <w:adjustRightInd w:val="0"/>
              <w:snapToGrid w:val="0"/>
              <w:spacing w:after="0" w:line="240" w:lineRule="auto"/>
              <w:ind w:leftChars="0"/>
              <w:jc w:val="both"/>
              <w:rPr>
                <w:rFonts w:ascii="Times New Roman" w:hAnsi="Times New Roman" w:eastAsia="宋体"/>
                <w:iCs/>
                <w:sz w:val="20"/>
                <w:szCs w:val="20"/>
              </w:rPr>
            </w:pPr>
            <w:r>
              <w:rPr>
                <w:rFonts w:ascii="Times New Roman" w:hAnsi="Times New Roman" w:eastAsia="宋体"/>
                <w:iCs/>
                <w:sz w:val="20"/>
                <w:szCs w:val="20"/>
              </w:rPr>
              <w:t>Alt 2: For rank 1 /2 PMI, the bitmap(s) of indicating non-zero coefficients for corresponding layer(s) is absent if reported K</w:t>
            </w:r>
            <w:r>
              <w:rPr>
                <w:rFonts w:ascii="Times New Roman" w:hAnsi="Times New Roman" w:eastAsia="宋体"/>
                <w:iCs/>
                <w:sz w:val="20"/>
                <w:szCs w:val="20"/>
                <w:vertAlign w:val="superscript"/>
              </w:rPr>
              <w:t>NZ</w:t>
            </w:r>
            <w:r>
              <w:rPr>
                <w:rFonts w:ascii="Times New Roman" w:hAnsi="Times New Roman" w:eastAsia="宋体"/>
                <w:iCs/>
                <w:sz w:val="20"/>
                <w:szCs w:val="20"/>
              </w:rPr>
              <w:t>=K</w:t>
            </w:r>
            <w:r>
              <w:rPr>
                <w:rFonts w:ascii="Times New Roman" w:hAnsi="Times New Roman" w:eastAsia="宋体"/>
                <w:iCs/>
                <w:sz w:val="20"/>
                <w:szCs w:val="20"/>
                <w:vertAlign w:val="subscript"/>
              </w:rPr>
              <w:t>1</w:t>
            </w:r>
            <w:r>
              <w:rPr>
                <w:rFonts w:ascii="Times New Roman" w:hAnsi="Times New Roman" w:eastAsia="宋体"/>
                <w:iCs/>
                <w:sz w:val="20"/>
                <w:szCs w:val="20"/>
              </w:rPr>
              <w:t>*M</w:t>
            </w:r>
            <w:r>
              <w:rPr>
                <w:rFonts w:ascii="Times New Roman" w:hAnsi="Times New Roman" w:eastAsia="宋体"/>
                <w:iCs/>
                <w:sz w:val="20"/>
                <w:szCs w:val="20"/>
                <w:vertAlign w:val="subscript"/>
              </w:rPr>
              <w:t>v</w:t>
            </w:r>
            <w:r>
              <w:rPr>
                <w:rFonts w:ascii="Times New Roman" w:hAnsi="Times New Roman" w:eastAsia="宋体"/>
                <w:iCs/>
                <w:sz w:val="20"/>
                <w:szCs w:val="20"/>
              </w:rPr>
              <w:t>*rank</w:t>
            </w:r>
          </w:p>
          <w:p>
            <w:pPr>
              <w:pStyle w:val="97"/>
              <w:widowControl w:val="0"/>
              <w:numPr>
                <w:ilvl w:val="1"/>
                <w:numId w:val="14"/>
              </w:numPr>
              <w:shd w:val="clear" w:color="auto" w:fill="FFFFFF"/>
              <w:adjustRightInd w:val="0"/>
              <w:snapToGrid w:val="0"/>
              <w:spacing w:after="0" w:line="240" w:lineRule="auto"/>
              <w:ind w:leftChars="0"/>
              <w:jc w:val="both"/>
              <w:rPr>
                <w:rFonts w:ascii="Times New Roman" w:hAnsi="Times New Roman" w:eastAsia="宋体"/>
                <w:iCs/>
                <w:sz w:val="20"/>
                <w:szCs w:val="20"/>
              </w:rPr>
            </w:pPr>
            <w:r>
              <w:rPr>
                <w:rFonts w:ascii="Times New Roman" w:hAnsi="Times New Roman" w:eastAsia="宋体"/>
                <w:iCs/>
                <w:sz w:val="20"/>
                <w:szCs w:val="20"/>
              </w:rPr>
              <w:t>Where K</w:t>
            </w:r>
            <w:r>
              <w:rPr>
                <w:rFonts w:ascii="Times New Roman" w:hAnsi="Times New Roman" w:eastAsia="宋体"/>
                <w:iCs/>
                <w:sz w:val="20"/>
                <w:szCs w:val="20"/>
                <w:vertAlign w:val="superscript"/>
              </w:rPr>
              <w:t>NZ</w:t>
            </w:r>
            <w:r>
              <w:rPr>
                <w:rFonts w:ascii="Times New Roman" w:hAnsi="Times New Roman" w:eastAsia="宋体"/>
                <w:iCs/>
                <w:sz w:val="20"/>
                <w:szCs w:val="20"/>
              </w:rPr>
              <w:t xml:space="preserve"> is the number of non-zero coefficients</w:t>
            </w:r>
          </w:p>
          <w:p>
            <w:pPr>
              <w:pStyle w:val="97"/>
              <w:widowControl w:val="0"/>
              <w:numPr>
                <w:ilvl w:val="0"/>
                <w:numId w:val="14"/>
              </w:numPr>
              <w:shd w:val="clear" w:color="auto" w:fill="FFFFFF"/>
              <w:adjustRightInd w:val="0"/>
              <w:snapToGrid w:val="0"/>
              <w:spacing w:after="0" w:line="240" w:lineRule="auto"/>
              <w:ind w:leftChars="0"/>
              <w:jc w:val="both"/>
              <w:rPr>
                <w:rFonts w:ascii="Times New Roman" w:hAnsi="Times New Roman" w:eastAsia="宋体"/>
                <w:iCs/>
                <w:sz w:val="20"/>
                <w:szCs w:val="20"/>
              </w:rPr>
            </w:pPr>
            <w:r>
              <w:rPr>
                <w:rFonts w:ascii="Times New Roman" w:hAnsi="Times New Roman" w:eastAsia="宋体"/>
                <w:iCs/>
                <w:sz w:val="20"/>
                <w:szCs w:val="20"/>
              </w:rPr>
              <w:t>Alt 3: In addition to Alt 2, additional field is reported by UE to inform whether the bitmap of indicating non-zero coefficients for specific layer is absent if rank&gt;1.</w:t>
            </w:r>
          </w:p>
          <w:p>
            <w:pPr>
              <w:pStyle w:val="97"/>
              <w:widowControl w:val="0"/>
              <w:numPr>
                <w:ilvl w:val="0"/>
                <w:numId w:val="14"/>
              </w:numPr>
              <w:shd w:val="clear" w:color="auto" w:fill="FFFFFF"/>
              <w:adjustRightInd w:val="0"/>
              <w:snapToGrid w:val="0"/>
              <w:spacing w:after="0" w:line="240" w:lineRule="auto"/>
              <w:ind w:leftChars="0"/>
              <w:jc w:val="both"/>
              <w:rPr>
                <w:rFonts w:ascii="Times New Roman" w:hAnsi="Times New Roman" w:eastAsia="宋体"/>
                <w:iCs/>
                <w:sz w:val="20"/>
                <w:szCs w:val="20"/>
              </w:rPr>
            </w:pPr>
            <w:r>
              <w:rPr>
                <w:rFonts w:ascii="Times New Roman" w:hAnsi="Times New Roman" w:eastAsia="宋体"/>
                <w:iCs/>
                <w:sz w:val="20"/>
                <w:szCs w:val="20"/>
              </w:rPr>
              <w:t>Alt 4: The bitmap of indicating non-zero coefficients is not needed if the number of coefficients is sufficiently small, i.e. K</w:t>
            </w:r>
            <w:r>
              <w:rPr>
                <w:rFonts w:ascii="Times New Roman" w:hAnsi="Times New Roman" w:eastAsia="宋体"/>
                <w:iCs/>
                <w:sz w:val="20"/>
                <w:szCs w:val="20"/>
                <w:vertAlign w:val="subscript"/>
              </w:rPr>
              <w:t>1</w:t>
            </w:r>
            <w:r>
              <w:rPr>
                <w:rFonts w:ascii="Times New Roman" w:hAnsi="Times New Roman" w:eastAsia="宋体"/>
                <w:iCs/>
                <w:sz w:val="20"/>
                <w:szCs w:val="20"/>
              </w:rPr>
              <w:t>M</w:t>
            </w:r>
            <w:r>
              <w:rPr>
                <w:rFonts w:ascii="Times New Roman" w:hAnsi="Times New Roman" w:eastAsia="宋体"/>
                <w:iCs/>
                <w:sz w:val="20"/>
                <w:szCs w:val="20"/>
                <w:vertAlign w:val="subscript"/>
              </w:rPr>
              <w:t>v</w:t>
            </w:r>
            <w:r>
              <w:rPr>
                <w:rFonts w:ascii="Times New Roman" w:hAnsi="Times New Roman" w:eastAsia="宋体"/>
                <w:iCs/>
                <w:sz w:val="20"/>
                <w:szCs w:val="20"/>
              </w:rPr>
              <w:t xml:space="preserve"> ≤ δ</w:t>
            </w:r>
          </w:p>
          <w:p>
            <w:pPr>
              <w:shd w:val="clear" w:color="auto" w:fill="FFFFFF"/>
              <w:adjustRightInd w:val="0"/>
              <w:snapToGrid w:val="0"/>
              <w:spacing w:after="0" w:line="240" w:lineRule="auto"/>
              <w:jc w:val="both"/>
              <w:rPr>
                <w:rFonts w:ascii="Times New Roman" w:hAnsi="Times New Roman" w:eastAsia="宋体"/>
                <w:iCs/>
                <w:sz w:val="20"/>
                <w:szCs w:val="20"/>
              </w:rPr>
            </w:pPr>
            <w:r>
              <w:rPr>
                <w:rFonts w:ascii="Times New Roman" w:hAnsi="Times New Roman" w:eastAsia="宋体"/>
                <w:iCs/>
                <w:sz w:val="20"/>
                <w:szCs w:val="20"/>
              </w:rPr>
              <w:t>Note: If none of above Alternative is agreed in RAN1#106bis-e, the bitmap for indicating non-zero coefficient is always present by default.</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n this section, we discuss more details about the remaining issues of CSI enhancement for FDD reciprocity.</w:t>
      </w:r>
    </w:p>
    <w:p>
      <w:pPr>
        <w:keepNext/>
        <w:keepLines/>
        <w:snapToGrid w:val="0"/>
        <w:spacing w:before="260" w:after="180" w:afterLines="50" w:line="240" w:lineRule="auto"/>
        <w:outlineLvl w:val="1"/>
        <w:rPr>
          <w:rFonts w:ascii="Arial" w:hAnsi="Arial"/>
          <w:sz w:val="24"/>
          <w:szCs w:val="24"/>
        </w:rPr>
      </w:pPr>
      <w:r>
        <w:rPr>
          <w:rFonts w:ascii="Arial" w:hAnsi="Arial"/>
          <w:sz w:val="24"/>
          <w:szCs w:val="24"/>
        </w:rPr>
        <w:t>3.1 General procedure</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This item assumes partial reciprocity for FDD scenario. gNB can derive angular and delay for multiple paths and use it to assist CSI reporting. In general, the procedure of this FDD reciprocity based CSI reporting is depicted in Fig. 3-1.</w:t>
      </w:r>
    </w:p>
    <w:p>
      <w:pPr>
        <w:snapToGrid w:val="0"/>
        <w:spacing w:before="180" w:beforeLines="50" w:after="180" w:afterLines="50" w:line="240" w:lineRule="auto"/>
        <w:jc w:val="center"/>
        <w:rPr>
          <w:rFonts w:ascii="Times New Roman" w:hAnsi="Times New Roman"/>
          <w:i/>
          <w:sz w:val="20"/>
          <w:szCs w:val="20"/>
        </w:rPr>
      </w:pPr>
      <w:r>
        <w:rPr>
          <w:rFonts w:ascii="Times New Roman" w:hAnsi="Times New Roman"/>
          <w:i/>
          <w:sz w:val="20"/>
          <w:szCs w:val="20"/>
        </w:rPr>
        <w:drawing>
          <wp:inline distT="0" distB="0" distL="0" distR="0">
            <wp:extent cx="3299460" cy="1508125"/>
            <wp:effectExtent l="0" t="0" r="15240" b="15875"/>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11"/>
                    <a:stretch>
                      <a:fillRect/>
                    </a:stretch>
                  </pic:blipFill>
                  <pic:spPr>
                    <a:xfrm>
                      <a:off x="0" y="0"/>
                      <a:ext cx="3299460" cy="1508125"/>
                    </a:xfrm>
                    <a:prstGeom prst="rect">
                      <a:avLst/>
                    </a:prstGeom>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w:t>
      </w:r>
      <w:r>
        <w:rPr>
          <w:rFonts w:ascii="Times New Roman" w:hAnsi="Times New Roman"/>
          <w:sz w:val="20"/>
          <w:szCs w:val="20"/>
        </w:rPr>
        <w:t>ig. 3-1 FDD reciprocity based CSI acquisition</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Consider DL is operated in frequency A, and UL is operated in frequency B, three step are considered in this procedure.</w:t>
      </w:r>
    </w:p>
    <w:p>
      <w:pPr>
        <w:numPr>
          <w:ilvl w:val="0"/>
          <w:numId w:val="15"/>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Step 1: gNB estimates angles and delays in frequency A by SRS in frequency B;</w:t>
      </w:r>
    </w:p>
    <w:p>
      <w:pPr>
        <w:numPr>
          <w:ilvl w:val="0"/>
          <w:numId w:val="1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w:t>
      </w:r>
      <w:r>
        <w:rPr>
          <w:rFonts w:ascii="Times New Roman" w:hAnsi="Times New Roman"/>
          <w:sz w:val="20"/>
          <w:szCs w:val="20"/>
        </w:rPr>
        <w:t>tep 2: gNB uses the angles and delays to precode CSI-RS in frequency A;</w:t>
      </w:r>
    </w:p>
    <w:p>
      <w:pPr>
        <w:numPr>
          <w:ilvl w:val="0"/>
          <w:numId w:val="15"/>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Step 3: UE measures the CSI-RS and report CSI (e.g., selected “ports” and coefficients) for frequency A.</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Specifically, in Step 2, each CSI-RS port is precoded by one pair of SD basis and FD basis. For one CSI-RS tone of one CSI-RS port, the transmitted signal is </w:t>
      </w:r>
      <m:oMath>
        <m:r>
          <m:rPr>
            <m:sty m:val="b"/>
          </m:rPr>
          <w:rPr>
            <w:rFonts w:ascii="Cambria Math" w:hAnsi="Cambria Math"/>
            <w:sz w:val="20"/>
            <w:szCs w:val="20"/>
          </w:rPr>
          <m:t>v</m:t>
        </m:r>
        <m:r>
          <m:rPr>
            <m:sty m:val="p"/>
          </m:rPr>
          <w:rPr>
            <w:rFonts w:ascii="Cambria Math" w:hAnsi="Cambria Math"/>
            <w:sz w:val="20"/>
            <w:szCs w:val="20"/>
          </w:rPr>
          <m:t>⋅fs</m:t>
        </m:r>
      </m:oMath>
      <w:r>
        <w:rPr>
          <w:rFonts w:hint="eastAsia" w:ascii="Times New Roman" w:hAnsi="Times New Roman"/>
          <w:sz w:val="20"/>
          <w:szCs w:val="20"/>
        </w:rPr>
        <w:t>,</w:t>
      </w:r>
      <w:r>
        <w:rPr>
          <w:rFonts w:ascii="Times New Roman" w:hAnsi="Times New Roman"/>
          <w:sz w:val="20"/>
          <w:szCs w:val="20"/>
        </w:rPr>
        <w:t xml:space="preserve"> where </w:t>
      </w:r>
      <m:oMath>
        <m:r>
          <m:rPr>
            <m:sty m:val="b"/>
          </m:rPr>
          <w:rPr>
            <w:rFonts w:ascii="Cambria Math" w:hAnsi="Cambria Math"/>
            <w:sz w:val="20"/>
            <w:szCs w:val="20"/>
          </w:rPr>
          <m:t>v</m:t>
        </m:r>
      </m:oMath>
      <w:r>
        <w:rPr>
          <w:rFonts w:hint="eastAsia" w:ascii="Times New Roman" w:hAnsi="Times New Roman"/>
          <w:b/>
          <w:sz w:val="20"/>
          <w:szCs w:val="20"/>
        </w:rPr>
        <w:t xml:space="preserve"> </w:t>
      </w:r>
      <w:r>
        <w:rPr>
          <w:rFonts w:ascii="Times New Roman" w:hAnsi="Times New Roman"/>
          <w:sz w:val="20"/>
          <w:szCs w:val="20"/>
        </w:rPr>
        <w:t>is an SD basis, f is an element of the FD basis, and s is one element in the CSI-RS sequence. In Step 3, for each CSI-RS port, i.e., each pair of SD basis and FD basis, what UE can observe is the beamformed channel by setting the delay to FD basis 0. UE can do average in frequency domain to decompress the noise, interference and residual delay vectors. Then UE can select the best ports and perform a wideband SVD to derive the coefficients.</w:t>
      </w:r>
    </w:p>
    <w:p>
      <w:pPr>
        <w:keepNext/>
        <w:keepLines/>
        <w:snapToGrid w:val="0"/>
        <w:spacing w:before="260" w:after="180" w:afterLines="50" w:line="240" w:lineRule="auto"/>
        <w:outlineLvl w:val="1"/>
        <w:rPr>
          <w:rFonts w:ascii="Arial" w:hAnsi="Arial"/>
          <w:sz w:val="24"/>
          <w:szCs w:val="24"/>
        </w:rPr>
      </w:pPr>
      <w:r>
        <w:rPr>
          <w:rFonts w:hint="eastAsia" w:ascii="Arial" w:hAnsi="Arial"/>
          <w:sz w:val="24"/>
          <w:szCs w:val="24"/>
        </w:rPr>
        <w:t>3</w:t>
      </w:r>
      <w:r>
        <w:rPr>
          <w:rFonts w:ascii="Arial" w:hAnsi="Arial"/>
          <w:sz w:val="24"/>
          <w:szCs w:val="24"/>
        </w:rPr>
        <w:t>.2 Codebook structure and reporting details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 xml:space="preserve">n RAN1#104e, a Rel-16-analogous codebook structure </w:t>
      </w:r>
      <w:r>
        <w:rPr>
          <w:rFonts w:ascii="Times New Roman" w:hAnsi="Times New Roman"/>
          <w:b/>
          <w:bCs/>
          <w:iCs/>
          <w:sz w:val="20"/>
          <w:szCs w:val="20"/>
        </w:rPr>
        <w:t>W=W</w:t>
      </w:r>
      <w:r>
        <w:rPr>
          <w:rFonts w:ascii="Times New Roman" w:hAnsi="Times New Roman"/>
          <w:b/>
          <w:bCs/>
          <w:iCs/>
          <w:sz w:val="20"/>
          <w:szCs w:val="20"/>
          <w:vertAlign w:val="subscript"/>
        </w:rPr>
        <w:t>1</w:t>
      </w:r>
      <w:r>
        <w:rPr>
          <w:rFonts w:ascii="Times New Roman" w:hAnsi="Times New Roman"/>
          <w:b/>
          <w:bCs/>
          <w:iCs/>
          <w:sz w:val="20"/>
          <w:szCs w:val="20"/>
        </w:rPr>
        <w:t>W</w:t>
      </w:r>
      <w:r>
        <w:rPr>
          <w:rFonts w:ascii="Times New Roman" w:hAnsi="Times New Roman"/>
          <w:b/>
          <w:bCs/>
          <w:iCs/>
          <w:sz w:val="20"/>
          <w:szCs w:val="20"/>
          <w:vertAlign w:val="subscript"/>
        </w:rPr>
        <w:t>2</w:t>
      </w:r>
      <w:r>
        <w:rPr>
          <w:rFonts w:ascii="Times New Roman" w:hAnsi="Times New Roman"/>
          <w:b/>
          <w:bCs/>
          <w:iCs/>
          <w:sz w:val="20"/>
          <w:szCs w:val="20"/>
        </w:rPr>
        <w:t> W</w:t>
      </w:r>
      <w:r>
        <w:rPr>
          <w:rFonts w:ascii="Times New Roman" w:hAnsi="Times New Roman"/>
          <w:b/>
          <w:bCs/>
          <w:iCs/>
          <w:sz w:val="20"/>
          <w:szCs w:val="20"/>
          <w:vertAlign w:val="subscript"/>
        </w:rPr>
        <w:t>f</w:t>
      </w:r>
      <w:r>
        <w:rPr>
          <w:rFonts w:ascii="Times New Roman" w:hAnsi="Times New Roman"/>
          <w:b/>
          <w:bCs/>
          <w:iCs/>
          <w:sz w:val="20"/>
          <w:szCs w:val="20"/>
          <w:vertAlign w:val="superscript"/>
        </w:rPr>
        <w:t>H</w:t>
      </w:r>
      <w:r>
        <w:rPr>
          <w:rFonts w:ascii="Times New Roman" w:hAnsi="Times New Roman"/>
          <w:sz w:val="20"/>
          <w:szCs w:val="20"/>
        </w:rPr>
        <w:t xml:space="preserve"> is agreed. Further, in RAN1#104bis-e </w:t>
      </w:r>
      <w:r>
        <w:rPr>
          <w:rFonts w:hint="eastAsia" w:ascii="Times New Roman" w:hAnsi="Times New Roman"/>
          <w:sz w:val="20"/>
          <w:szCs w:val="20"/>
        </w:rPr>
        <w:t>and</w:t>
      </w:r>
      <w:r>
        <w:rPr>
          <w:rFonts w:ascii="Times New Roman" w:hAnsi="Times New Roman"/>
          <w:sz w:val="20"/>
          <w:szCs w:val="20"/>
        </w:rPr>
        <w:t xml:space="preserve"> RAN1#105e, a number of design details on the three components W1, W2 and Wf are agreed. We discuss remaining design details on W1, W2 and Wf, and higher rank support.</w:t>
      </w:r>
    </w:p>
    <w:p>
      <w:pPr>
        <w:snapToGrid w:val="0"/>
        <w:spacing w:before="180" w:beforeLines="50" w:after="180" w:afterLines="50" w:line="240" w:lineRule="auto"/>
        <w:jc w:val="both"/>
        <w:rPr>
          <w:rFonts w:ascii="Times New Roman" w:hAnsi="Times New Roman"/>
          <w:b/>
          <w:sz w:val="20"/>
          <w:szCs w:val="20"/>
          <w:u w:val="single"/>
        </w:rPr>
      </w:pPr>
      <w:r>
        <w:rPr>
          <w:rFonts w:ascii="Times New Roman" w:hAnsi="Times New Roman"/>
          <w:b/>
          <w:sz w:val="20"/>
          <w:szCs w:val="20"/>
          <w:u w:val="single"/>
        </w:rPr>
        <w:t>Details on W1</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t has been agreed that W1 performs port selection. Further, W1 is polarization-common at least for rank 1/2.</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One FFS point is whether W1 polarization-common for all ranks and CSI-RS ports. There is no technical reason to specify different types of W1 for different ranks and CSI-RS ports. Further, W1 is polarization-common for all the ranks and ports in Rel-15 and Rel-16 port selection codebooks. Hence, we have the following proposal.</w:t>
      </w:r>
    </w:p>
    <w:p>
      <w:pPr>
        <w:snapToGrid w:val="0"/>
        <w:spacing w:before="180" w:beforeLines="50" w:after="180" w:afterLines="50" w:line="240" w:lineRule="auto"/>
        <w:jc w:val="both"/>
        <w:rPr>
          <w:rFonts w:ascii="Times New Roman" w:hAnsi="Times New Roman"/>
          <w:i/>
          <w:sz w:val="20"/>
          <w:szCs w:val="20"/>
        </w:rPr>
      </w:pPr>
      <w:r>
        <w:rPr>
          <w:rFonts w:hint="eastAsia" w:ascii="Times New Roman" w:hAnsi="Times New Roman"/>
          <w:b/>
          <w:i/>
          <w:sz w:val="20"/>
          <w:szCs w:val="20"/>
        </w:rPr>
        <w:t>P</w:t>
      </w:r>
      <w:r>
        <w:rPr>
          <w:rFonts w:ascii="Times New Roman" w:hAnsi="Times New Roman"/>
          <w:b/>
          <w:i/>
          <w:sz w:val="20"/>
          <w:szCs w:val="20"/>
        </w:rPr>
        <w:t xml:space="preserve">roposal </w:t>
      </w:r>
      <w:r>
        <w:rPr>
          <w:rFonts w:hint="eastAsia" w:ascii="Times New Roman" w:hAnsi="Times New Roman"/>
          <w:b/>
          <w:i/>
          <w:sz w:val="20"/>
          <w:szCs w:val="20"/>
        </w:rPr>
        <w:t>8</w:t>
      </w:r>
      <w:r>
        <w:rPr>
          <w:rFonts w:ascii="Times New Roman" w:hAnsi="Times New Roman"/>
          <w:b/>
          <w:i/>
          <w:sz w:val="20"/>
          <w:szCs w:val="20"/>
        </w:rPr>
        <w:t>:</w:t>
      </w:r>
      <w:r>
        <w:rPr>
          <w:rFonts w:ascii="Times New Roman" w:hAnsi="Times New Roman"/>
          <w:i/>
          <w:sz w:val="20"/>
          <w:szCs w:val="20"/>
        </w:rPr>
        <w:t xml:space="preserve"> Support polarization-</w:t>
      </w:r>
      <w:r>
        <w:rPr>
          <w:rFonts w:hint="eastAsia" w:ascii="Times New Roman" w:hAnsi="Times New Roman"/>
          <w:i/>
          <w:sz w:val="20"/>
          <w:szCs w:val="20"/>
        </w:rPr>
        <w:t>common</w:t>
      </w:r>
      <w:r>
        <w:rPr>
          <w:rFonts w:ascii="Times New Roman" w:hAnsi="Times New Roman"/>
          <w:i/>
          <w:sz w:val="20"/>
          <w:szCs w:val="20"/>
        </w:rPr>
        <w:t xml:space="preserve"> W1 for all the ranks (up to rank 4) and CSI-RS ports in Rel-17 PS codebook.</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 xml:space="preserve">t has been agreed in Agreement #5 that </w:t>
      </w:r>
      <w:r>
        <w:rPr>
          <w:rFonts w:ascii="Times New Roman" w:hAnsi="Times New Roman" w:eastAsia="宋体"/>
          <w:sz w:val="20"/>
          <w:szCs w:val="20"/>
        </w:rPr>
        <w:t>K</w:t>
      </w:r>
      <w:r>
        <w:rPr>
          <w:rFonts w:ascii="Times New Roman" w:hAnsi="Times New Roman" w:eastAsia="宋体"/>
          <w:sz w:val="20"/>
          <w:szCs w:val="20"/>
          <w:vertAlign w:val="subscript"/>
        </w:rPr>
        <w:t>1</w:t>
      </w:r>
      <w:r>
        <w:rPr>
          <w:rFonts w:ascii="Times New Roman" w:hAnsi="Times New Roman" w:eastAsia="宋体"/>
          <w:sz w:val="20"/>
          <w:szCs w:val="20"/>
        </w:rPr>
        <w:t xml:space="preserve"> = alpha*P and the candidate values of alpha are {1/2, 3/4, 1}. As we have agreed that </w:t>
      </w:r>
      <w:r>
        <w:rPr>
          <w:rFonts w:ascii="Times New Roman" w:hAnsi="Times New Roman"/>
          <w:sz w:val="20"/>
          <w:szCs w:val="20"/>
        </w:rPr>
        <w:t>polarization-</w:t>
      </w:r>
      <w:r>
        <w:rPr>
          <w:rFonts w:hint="eastAsia" w:ascii="Times New Roman" w:hAnsi="Times New Roman"/>
          <w:sz w:val="20"/>
          <w:szCs w:val="20"/>
        </w:rPr>
        <w:t>common</w:t>
      </w:r>
      <w:r>
        <w:rPr>
          <w:rFonts w:ascii="Times New Roman" w:hAnsi="Times New Roman"/>
          <w:sz w:val="20"/>
          <w:szCs w:val="20"/>
        </w:rPr>
        <w:t xml:space="preserve"> W1 is used, the values of K</w:t>
      </w:r>
      <w:r>
        <w:rPr>
          <w:rFonts w:ascii="Times New Roman" w:hAnsi="Times New Roman"/>
          <w:sz w:val="20"/>
          <w:szCs w:val="20"/>
          <w:vertAlign w:val="subscript"/>
        </w:rPr>
        <w:t>1</w:t>
      </w:r>
      <w:r>
        <w:rPr>
          <w:rFonts w:ascii="Times New Roman" w:hAnsi="Times New Roman"/>
          <w:sz w:val="20"/>
          <w:szCs w:val="20"/>
        </w:rPr>
        <w:t xml:space="preserve"> needs to be even integers. However, based on the current definition of K</w:t>
      </w:r>
      <w:r>
        <w:rPr>
          <w:rFonts w:ascii="Times New Roman" w:hAnsi="Times New Roman"/>
          <w:sz w:val="20"/>
          <w:szCs w:val="20"/>
          <w:vertAlign w:val="subscript"/>
        </w:rPr>
        <w:t>1</w:t>
      </w:r>
      <w:r>
        <w:rPr>
          <w:rFonts w:ascii="Times New Roman" w:hAnsi="Times New Roman"/>
          <w:sz w:val="20"/>
          <w:szCs w:val="20"/>
        </w:rPr>
        <w:t>, in some cases, it cannot be guaranteed that K</w:t>
      </w:r>
      <w:r>
        <w:rPr>
          <w:rFonts w:ascii="Times New Roman" w:hAnsi="Times New Roman"/>
          <w:sz w:val="20"/>
          <w:szCs w:val="20"/>
          <w:vertAlign w:val="subscript"/>
        </w:rPr>
        <w:t>1</w:t>
      </w:r>
      <w:r>
        <w:rPr>
          <w:rFonts w:ascii="Times New Roman" w:hAnsi="Times New Roman"/>
          <w:sz w:val="20"/>
          <w:szCs w:val="20"/>
        </w:rPr>
        <w:t xml:space="preserve"> are even integers. For example, when alpha = </w:t>
      </w:r>
      <w:r>
        <w:rPr>
          <w:rFonts w:ascii="Times New Roman" w:hAnsi="Times New Roman" w:eastAsia="宋体"/>
          <w:sz w:val="20"/>
          <w:szCs w:val="20"/>
        </w:rPr>
        <w:t xml:space="preserve">3/4 and P=12, </w:t>
      </w:r>
      <w:r>
        <w:rPr>
          <w:rFonts w:ascii="Times New Roman" w:hAnsi="Times New Roman"/>
          <w:sz w:val="20"/>
          <w:szCs w:val="20"/>
        </w:rPr>
        <w:t>K</w:t>
      </w:r>
      <w:r>
        <w:rPr>
          <w:rFonts w:ascii="Times New Roman" w:hAnsi="Times New Roman"/>
          <w:sz w:val="20"/>
          <w:szCs w:val="20"/>
          <w:vertAlign w:val="subscript"/>
        </w:rPr>
        <w:t>1</w:t>
      </w:r>
      <w:r>
        <w:rPr>
          <w:rFonts w:ascii="Times New Roman" w:hAnsi="Times New Roman"/>
          <w:sz w:val="20"/>
          <w:szCs w:val="20"/>
        </w:rPr>
        <w:t xml:space="preserve"> is 9, which is not an even integer. Hence the definition of </w:t>
      </w:r>
      <w:r>
        <w:rPr>
          <w:rFonts w:ascii="Times New Roman" w:hAnsi="Times New Roman" w:eastAsia="宋体"/>
          <w:sz w:val="20"/>
          <w:szCs w:val="20"/>
        </w:rPr>
        <w:t>K</w:t>
      </w:r>
      <w:r>
        <w:rPr>
          <w:rFonts w:ascii="Times New Roman" w:hAnsi="Times New Roman" w:eastAsia="宋体"/>
          <w:sz w:val="20"/>
          <w:szCs w:val="20"/>
          <w:vertAlign w:val="subscript"/>
        </w:rPr>
        <w:t>1</w:t>
      </w:r>
      <w:r>
        <w:rPr>
          <w:rFonts w:ascii="Times New Roman" w:hAnsi="Times New Roman" w:eastAsia="宋体"/>
          <w:sz w:val="20"/>
          <w:szCs w:val="20"/>
        </w:rPr>
        <w:t xml:space="preserve"> needs to be refined. One simple way is to define K</w:t>
      </w:r>
      <w:r>
        <w:rPr>
          <w:rFonts w:ascii="Times New Roman" w:hAnsi="Times New Roman" w:eastAsia="宋体"/>
          <w:sz w:val="20"/>
          <w:szCs w:val="20"/>
          <w:vertAlign w:val="subscript"/>
        </w:rPr>
        <w:t>1</w:t>
      </w:r>
      <w:r>
        <w:rPr>
          <w:rFonts w:ascii="Times New Roman" w:hAnsi="Times New Roman" w:eastAsia="宋体"/>
          <w:sz w:val="20"/>
          <w:szCs w:val="20"/>
        </w:rPr>
        <w:t xml:space="preserve"> as </w:t>
      </w:r>
      <m:oMath>
        <m:sSub>
          <m:sSubPr>
            <m:ctrlPr>
              <w:rPr>
                <w:rFonts w:ascii="Cambria Math" w:hAnsi="Cambria Math" w:eastAsia="宋体"/>
                <w:i/>
                <w:sz w:val="20"/>
                <w:szCs w:val="20"/>
              </w:rPr>
            </m:ctrlPr>
          </m:sSubPr>
          <m:e>
            <m:r>
              <w:rPr>
                <w:rFonts w:ascii="Cambria Math" w:hAnsi="Cambria Math" w:eastAsia="宋体"/>
                <w:sz w:val="20"/>
                <w:szCs w:val="20"/>
              </w:rPr>
              <m:t>K</m:t>
            </m:r>
            <m:ctrlPr>
              <w:rPr>
                <w:rFonts w:ascii="Cambria Math" w:hAnsi="Cambria Math" w:eastAsia="宋体"/>
                <w:i/>
                <w:sz w:val="20"/>
                <w:szCs w:val="20"/>
              </w:rPr>
            </m:ctrlPr>
          </m:e>
          <m:sub>
            <m:r>
              <w:rPr>
                <w:rFonts w:ascii="Cambria Math" w:hAnsi="Cambria Math" w:eastAsia="宋体"/>
                <w:sz w:val="20"/>
                <w:szCs w:val="20"/>
              </w:rPr>
              <m:t>1</m:t>
            </m:r>
            <m:ctrlPr>
              <w:rPr>
                <w:rFonts w:ascii="Cambria Math" w:hAnsi="Cambria Math" w:eastAsia="宋体"/>
                <w:i/>
                <w:sz w:val="20"/>
                <w:szCs w:val="20"/>
              </w:rPr>
            </m:ctrlPr>
          </m:sub>
        </m:sSub>
        <m:r>
          <w:rPr>
            <w:rFonts w:ascii="Cambria Math" w:hAnsi="Cambria Math" w:eastAsia="宋体"/>
            <w:sz w:val="20"/>
            <w:szCs w:val="20"/>
          </w:rPr>
          <m:t>=</m:t>
        </m:r>
        <m:d>
          <m:dPr>
            <m:begChr m:val="⌈"/>
            <m:endChr m:val="⌉"/>
            <m:ctrlPr>
              <w:rPr>
                <w:rFonts w:ascii="Cambria Math" w:hAnsi="Cambria Math" w:eastAsia="宋体"/>
                <w:i/>
                <w:sz w:val="20"/>
                <w:szCs w:val="20"/>
              </w:rPr>
            </m:ctrlPr>
          </m:dPr>
          <m:e>
            <m:r>
              <w:rPr>
                <w:rFonts w:ascii="Cambria Math" w:hAnsi="Cambria Math" w:eastAsia="宋体"/>
                <w:sz w:val="20"/>
                <w:szCs w:val="20"/>
              </w:rPr>
              <m:t>alpha×P/2</m:t>
            </m:r>
            <m:ctrlPr>
              <w:rPr>
                <w:rFonts w:ascii="Cambria Math" w:hAnsi="Cambria Math" w:eastAsia="宋体"/>
                <w:i/>
                <w:sz w:val="20"/>
                <w:szCs w:val="20"/>
              </w:rPr>
            </m:ctrlPr>
          </m:e>
        </m:d>
        <m:r>
          <w:rPr>
            <w:rFonts w:ascii="Cambria Math" w:hAnsi="Cambria Math" w:eastAsia="宋体"/>
            <w:sz w:val="20"/>
            <w:szCs w:val="20"/>
          </w:rPr>
          <m:t>*2</m:t>
        </m:r>
      </m:oMath>
      <w:r>
        <w:rPr>
          <w:rFonts w:hint="eastAsia" w:ascii="Times New Roman" w:hAnsi="Times New Roman" w:eastAsia="宋体"/>
          <w:sz w:val="20"/>
          <w:szCs w:val="20"/>
        </w:rPr>
        <w:t xml:space="preserve"> </w:t>
      </w:r>
      <w:r>
        <w:rPr>
          <w:rFonts w:ascii="Times New Roman" w:hAnsi="Times New Roman" w:eastAsia="宋体"/>
          <w:sz w:val="20"/>
          <w:szCs w:val="20"/>
        </w:rPr>
        <w:t>to guarantee K</w:t>
      </w:r>
      <w:r>
        <w:rPr>
          <w:rFonts w:ascii="Times New Roman" w:hAnsi="Times New Roman" w:eastAsia="宋体"/>
          <w:sz w:val="20"/>
          <w:szCs w:val="20"/>
          <w:vertAlign w:val="subscript"/>
        </w:rPr>
        <w:t>1</w:t>
      </w:r>
      <w:r>
        <w:rPr>
          <w:rFonts w:ascii="Times New Roman" w:hAnsi="Times New Roman" w:eastAsia="宋体"/>
          <w:sz w:val="20"/>
          <w:szCs w:val="20"/>
        </w:rPr>
        <w:t xml:space="preserve"> are even integers.</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Proposal </w:t>
      </w:r>
      <w:r>
        <w:rPr>
          <w:rFonts w:hint="eastAsia" w:ascii="Times New Roman" w:hAnsi="Times New Roman"/>
          <w:b/>
          <w:i/>
          <w:sz w:val="20"/>
          <w:szCs w:val="20"/>
        </w:rPr>
        <w:t>9</w:t>
      </w:r>
      <w:r>
        <w:rPr>
          <w:rFonts w:ascii="Times New Roman" w:hAnsi="Times New Roman"/>
          <w:b/>
          <w:i/>
          <w:sz w:val="20"/>
          <w:szCs w:val="20"/>
        </w:rPr>
        <w:t xml:space="preserve">: </w:t>
      </w:r>
      <w:r>
        <w:rPr>
          <w:rFonts w:ascii="Times New Roman" w:hAnsi="Times New Roman"/>
          <w:i/>
          <w:sz w:val="20"/>
          <w:szCs w:val="20"/>
        </w:rPr>
        <w:t>Refine the definition of K</w:t>
      </w:r>
      <w:r>
        <w:rPr>
          <w:rFonts w:ascii="Times New Roman" w:hAnsi="Times New Roman"/>
          <w:i/>
          <w:sz w:val="20"/>
          <w:szCs w:val="20"/>
          <w:vertAlign w:val="subscript"/>
        </w:rPr>
        <w:t>1</w:t>
      </w:r>
      <w:r>
        <w:rPr>
          <w:rFonts w:ascii="Times New Roman" w:hAnsi="Times New Roman"/>
          <w:i/>
          <w:sz w:val="20"/>
          <w:szCs w:val="20"/>
        </w:rPr>
        <w:t xml:space="preserve"> as </w:t>
      </w:r>
      <m:oMath>
        <m:sSub>
          <m:sSubPr>
            <m:ctrlPr>
              <w:rPr>
                <w:rFonts w:ascii="Cambria Math" w:hAnsi="Cambria Math" w:eastAsia="宋体"/>
                <w:i/>
                <w:sz w:val="20"/>
                <w:szCs w:val="20"/>
              </w:rPr>
            </m:ctrlPr>
          </m:sSubPr>
          <m:e>
            <m:r>
              <w:rPr>
                <w:rFonts w:ascii="Cambria Math" w:hAnsi="Cambria Math" w:eastAsia="宋体"/>
                <w:sz w:val="20"/>
                <w:szCs w:val="20"/>
              </w:rPr>
              <m:t>K</m:t>
            </m:r>
            <m:ctrlPr>
              <w:rPr>
                <w:rFonts w:ascii="Cambria Math" w:hAnsi="Cambria Math" w:eastAsia="宋体"/>
                <w:i/>
                <w:sz w:val="20"/>
                <w:szCs w:val="20"/>
              </w:rPr>
            </m:ctrlPr>
          </m:e>
          <m:sub>
            <m:r>
              <w:rPr>
                <w:rFonts w:ascii="Cambria Math" w:hAnsi="Cambria Math" w:eastAsia="宋体"/>
                <w:sz w:val="20"/>
                <w:szCs w:val="20"/>
              </w:rPr>
              <m:t>1</m:t>
            </m:r>
            <m:ctrlPr>
              <w:rPr>
                <w:rFonts w:ascii="Cambria Math" w:hAnsi="Cambria Math" w:eastAsia="宋体"/>
                <w:i/>
                <w:sz w:val="20"/>
                <w:szCs w:val="20"/>
              </w:rPr>
            </m:ctrlPr>
          </m:sub>
        </m:sSub>
        <m:r>
          <w:rPr>
            <w:rFonts w:ascii="Cambria Math" w:hAnsi="Cambria Math" w:eastAsia="宋体"/>
            <w:sz w:val="20"/>
            <w:szCs w:val="20"/>
          </w:rPr>
          <m:t>=</m:t>
        </m:r>
        <m:d>
          <m:dPr>
            <m:begChr m:val="⌈"/>
            <m:endChr m:val="⌉"/>
            <m:ctrlPr>
              <w:rPr>
                <w:rFonts w:ascii="Cambria Math" w:hAnsi="Cambria Math" w:eastAsia="宋体"/>
                <w:i/>
                <w:sz w:val="20"/>
                <w:szCs w:val="20"/>
              </w:rPr>
            </m:ctrlPr>
          </m:dPr>
          <m:e>
            <m:r>
              <w:rPr>
                <w:rFonts w:ascii="Cambria Math" w:hAnsi="Cambria Math" w:eastAsia="宋体"/>
                <w:sz w:val="20"/>
                <w:szCs w:val="20"/>
              </w:rPr>
              <m:t>alpha×P/2</m:t>
            </m:r>
            <m:ctrlPr>
              <w:rPr>
                <w:rFonts w:ascii="Cambria Math" w:hAnsi="Cambria Math" w:eastAsia="宋体"/>
                <w:i/>
                <w:sz w:val="20"/>
                <w:szCs w:val="20"/>
              </w:rPr>
            </m:ctrlPr>
          </m:e>
        </m:d>
        <m:r>
          <w:rPr>
            <w:rFonts w:ascii="Cambria Math" w:hAnsi="Cambria Math" w:eastAsia="宋体"/>
            <w:sz w:val="20"/>
            <w:szCs w:val="20"/>
          </w:rPr>
          <m:t>*2</m:t>
        </m:r>
      </m:oMath>
      <w:r>
        <w:rPr>
          <w:rFonts w:ascii="Times New Roman" w:hAnsi="Times New Roman"/>
          <w:i/>
          <w:sz w:val="20"/>
          <w:szCs w:val="20"/>
        </w:rPr>
        <w:t xml:space="preserve"> to ensure </w:t>
      </w:r>
      <w:r>
        <w:rPr>
          <w:rFonts w:ascii="Times New Roman" w:hAnsi="Times New Roman" w:eastAsia="宋体"/>
          <w:i/>
          <w:sz w:val="20"/>
          <w:szCs w:val="20"/>
        </w:rPr>
        <w:t>K</w:t>
      </w:r>
      <w:r>
        <w:rPr>
          <w:rFonts w:ascii="Times New Roman" w:hAnsi="Times New Roman" w:eastAsia="宋体"/>
          <w:i/>
          <w:sz w:val="20"/>
          <w:szCs w:val="20"/>
          <w:vertAlign w:val="subscript"/>
        </w:rPr>
        <w:t>1</w:t>
      </w:r>
      <w:r>
        <w:rPr>
          <w:rFonts w:ascii="Times New Roman" w:hAnsi="Times New Roman" w:eastAsia="宋体"/>
          <w:i/>
          <w:sz w:val="20"/>
          <w:szCs w:val="20"/>
        </w:rPr>
        <w:t xml:space="preserve"> are even integers.</w:t>
      </w:r>
    </w:p>
    <w:p>
      <w:pPr>
        <w:snapToGrid w:val="0"/>
        <w:spacing w:before="180" w:beforeLines="50" w:after="180" w:afterLines="50" w:line="240" w:lineRule="auto"/>
        <w:jc w:val="both"/>
        <w:rPr>
          <w:rFonts w:ascii="Times New Roman" w:hAnsi="Times New Roman"/>
          <w:b/>
          <w:sz w:val="20"/>
          <w:szCs w:val="20"/>
          <w:u w:val="single"/>
        </w:rPr>
      </w:pPr>
      <w:r>
        <w:rPr>
          <w:rFonts w:ascii="Times New Roman" w:hAnsi="Times New Roman"/>
          <w:b/>
          <w:sz w:val="20"/>
          <w:szCs w:val="20"/>
          <w:u w:val="single"/>
        </w:rPr>
        <w:t>Details on Wf</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The detailed design of Wf for rank 1/2 has been agreed in Agreement #8. For rank 3-4, it is natural to use the same approach to use the same approach and same set of (N, Mv) values for Wf.</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One remaining issue is the supported value of N. Larger value of N will increase the PMI payload, while smaller value of N may decrease performance. N=4 is a good trade-off between overhead and performance. Hence we support to adopt N=4. Note that N = 2 or 4 only makes sense for Mv=2. For Mv=1, to have only N=1 is sufficient.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For the reporting of the selection of Mv Wf vectors, it is natural to use </w:t>
      </w:r>
      <m:oMath>
        <m:d>
          <m:dPr>
            <m:begChr m:val="⌈"/>
            <m:endChr m:val="⌉"/>
            <m:ctrlPr>
              <w:rPr>
                <w:rFonts w:ascii="Cambria Math" w:hAnsi="Cambria Math"/>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w:rPr>
                        <w:rFonts w:ascii="Cambria Math" w:hAnsi="Cambria Math"/>
                        <w:sz w:val="20"/>
                        <w:szCs w:val="20"/>
                      </w:rPr>
                      <m:t>log</m:t>
                    </m:r>
                    <m:ctrlPr>
                      <w:rPr>
                        <w:rFonts w:ascii="Cambria Math" w:hAnsi="Cambria Math"/>
                        <w:i/>
                        <w:sz w:val="20"/>
                        <w:szCs w:val="20"/>
                      </w:rPr>
                    </m:ctrlPr>
                  </m:e>
                  <m:sub>
                    <m:r>
                      <w:rPr>
                        <w:rFonts w:ascii="Cambria Math" w:hAnsi="Cambria Math"/>
                        <w:sz w:val="20"/>
                        <w:szCs w:val="20"/>
                      </w:rPr>
                      <m:t>2</m:t>
                    </m:r>
                    <m:ctrlPr>
                      <w:rPr>
                        <w:rFonts w:ascii="Cambria Math" w:hAnsi="Cambria Math"/>
                        <w:i/>
                        <w:sz w:val="20"/>
                        <w:szCs w:val="20"/>
                      </w:rPr>
                    </m:ctrlPr>
                  </m:sub>
                </m:sSub>
                <m:ctrlPr>
                  <w:rPr>
                    <w:rFonts w:ascii="Cambria Math" w:hAnsi="Cambria Math"/>
                    <w:i/>
                    <w:sz w:val="20"/>
                    <w:szCs w:val="20"/>
                  </w:rPr>
                </m:ctrlPr>
              </m:fName>
              <m:e>
                <m:sSubSup>
                  <m:sSubSupPr>
                    <m:ctrlPr>
                      <w:rPr>
                        <w:rFonts w:ascii="Cambria Math" w:hAnsi="Cambria Math"/>
                        <w:i/>
                        <w:sz w:val="20"/>
                        <w:szCs w:val="20"/>
                      </w:rPr>
                    </m:ctrlPr>
                  </m:sSubSupPr>
                  <m:e>
                    <m:r>
                      <w:rPr>
                        <w:rFonts w:ascii="Cambria Math" w:hAnsi="Cambria Math"/>
                        <w:sz w:val="20"/>
                        <w:szCs w:val="20"/>
                      </w:rPr>
                      <m:t>C</m:t>
                    </m:r>
                    <m:ctrlPr>
                      <w:rPr>
                        <w:rFonts w:ascii="Cambria Math" w:hAnsi="Cambria Math"/>
                        <w:i/>
                        <w:sz w:val="20"/>
                        <w:szCs w:val="20"/>
                      </w:rPr>
                    </m:ctrlPr>
                  </m:e>
                  <m:sub>
                    <m:r>
                      <w:rPr>
                        <w:rFonts w:ascii="Cambria Math" w:hAnsi="Cambria Math"/>
                        <w:sz w:val="20"/>
                        <w:szCs w:val="20"/>
                      </w:rPr>
                      <m:t>N</m:t>
                    </m:r>
                    <m:ctrlPr>
                      <w:rPr>
                        <w:rFonts w:ascii="Cambria Math" w:hAnsi="Cambria Math"/>
                        <w:i/>
                        <w:sz w:val="20"/>
                        <w:szCs w:val="20"/>
                      </w:rPr>
                    </m:ctrlPr>
                  </m:sub>
                  <m:sup>
                    <m:sSub>
                      <m:sSubPr>
                        <m:ctrlPr>
                          <w:rPr>
                            <w:rFonts w:ascii="Cambria Math" w:hAnsi="Cambria Math"/>
                            <w:i/>
                            <w:sz w:val="20"/>
                            <w:szCs w:val="20"/>
                          </w:rPr>
                        </m:ctrlPr>
                      </m:sSubPr>
                      <m:e>
                        <m:r>
                          <w:rPr>
                            <w:rFonts w:ascii="Cambria Math" w:hAnsi="Cambria Math"/>
                            <w:sz w:val="20"/>
                            <w:szCs w:val="20"/>
                          </w:rPr>
                          <m:t>M</m:t>
                        </m:r>
                        <m:ctrlPr>
                          <w:rPr>
                            <w:rFonts w:ascii="Cambria Math" w:hAnsi="Cambria Math"/>
                            <w:i/>
                            <w:sz w:val="20"/>
                            <w:szCs w:val="20"/>
                          </w:rPr>
                        </m:ctrlPr>
                      </m:e>
                      <m:sub>
                        <m:r>
                          <w:rPr>
                            <w:rFonts w:ascii="Cambria Math" w:hAnsi="Cambria Math"/>
                            <w:sz w:val="20"/>
                            <w:szCs w:val="20"/>
                          </w:rPr>
                          <m:t>v</m:t>
                        </m:r>
                        <m:ctrlPr>
                          <w:rPr>
                            <w:rFonts w:ascii="Cambria Math" w:hAnsi="Cambria Math"/>
                            <w:i/>
                            <w:sz w:val="20"/>
                            <w:szCs w:val="20"/>
                          </w:rPr>
                        </m:ctrlPr>
                      </m:sub>
                    </m:sSub>
                    <m:ctrlPr>
                      <w:rPr>
                        <w:rFonts w:ascii="Cambria Math" w:hAnsi="Cambria Math"/>
                        <w:i/>
                        <w:sz w:val="20"/>
                        <w:szCs w:val="20"/>
                      </w:rPr>
                    </m:ctrlPr>
                  </m:sup>
                </m:sSubSup>
                <m:ctrlPr>
                  <w:rPr>
                    <w:rFonts w:ascii="Cambria Math" w:hAnsi="Cambria Math"/>
                    <w:i/>
                    <w:sz w:val="20"/>
                    <w:szCs w:val="20"/>
                  </w:rPr>
                </m:ctrlPr>
              </m:e>
            </m:func>
            <m:ctrlPr>
              <w:rPr>
                <w:rFonts w:ascii="Cambria Math" w:hAnsi="Cambria Math"/>
                <w:sz w:val="20"/>
                <w:szCs w:val="20"/>
              </w:rPr>
            </m:ctrlPr>
          </m:e>
        </m:d>
      </m:oMath>
      <w:r>
        <w:rPr>
          <w:rFonts w:hint="eastAsia" w:ascii="Times New Roman" w:hAnsi="Times New Roman"/>
          <w:sz w:val="20"/>
          <w:szCs w:val="20"/>
        </w:rPr>
        <w:t xml:space="preserve"> </w:t>
      </w:r>
      <w:r>
        <w:rPr>
          <w:rFonts w:ascii="Times New Roman" w:hAnsi="Times New Roman"/>
          <w:sz w:val="20"/>
          <w:szCs w:val="20"/>
        </w:rPr>
        <w:t xml:space="preserve">bits. Some optimization can be used to reduce this overhead, but they may need UE to perform cyclic shift operation. The saved overhead from this type of optimization is very small, e.g., 1 bit, but the cost is UE complexity increase. Hence to use </w:t>
      </w:r>
      <m:oMath>
        <m:d>
          <m:dPr>
            <m:begChr m:val="⌈"/>
            <m:endChr m:val="⌉"/>
            <m:ctrlPr>
              <w:rPr>
                <w:rFonts w:ascii="Cambria Math" w:hAnsi="Cambria Math"/>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w:rPr>
                        <w:rFonts w:ascii="Cambria Math" w:hAnsi="Cambria Math"/>
                        <w:sz w:val="20"/>
                        <w:szCs w:val="20"/>
                      </w:rPr>
                      <m:t>log</m:t>
                    </m:r>
                    <m:ctrlPr>
                      <w:rPr>
                        <w:rFonts w:ascii="Cambria Math" w:hAnsi="Cambria Math"/>
                        <w:i/>
                        <w:sz w:val="20"/>
                        <w:szCs w:val="20"/>
                      </w:rPr>
                    </m:ctrlPr>
                  </m:e>
                  <m:sub>
                    <m:r>
                      <w:rPr>
                        <w:rFonts w:ascii="Cambria Math" w:hAnsi="Cambria Math"/>
                        <w:sz w:val="20"/>
                        <w:szCs w:val="20"/>
                      </w:rPr>
                      <m:t>2</m:t>
                    </m:r>
                    <m:ctrlPr>
                      <w:rPr>
                        <w:rFonts w:ascii="Cambria Math" w:hAnsi="Cambria Math"/>
                        <w:i/>
                        <w:sz w:val="20"/>
                        <w:szCs w:val="20"/>
                      </w:rPr>
                    </m:ctrlPr>
                  </m:sub>
                </m:sSub>
                <m:ctrlPr>
                  <w:rPr>
                    <w:rFonts w:ascii="Cambria Math" w:hAnsi="Cambria Math"/>
                    <w:i/>
                    <w:sz w:val="20"/>
                    <w:szCs w:val="20"/>
                  </w:rPr>
                </m:ctrlPr>
              </m:fName>
              <m:e>
                <m:sSubSup>
                  <m:sSubSupPr>
                    <m:ctrlPr>
                      <w:rPr>
                        <w:rFonts w:ascii="Cambria Math" w:hAnsi="Cambria Math"/>
                        <w:i/>
                        <w:sz w:val="20"/>
                        <w:szCs w:val="20"/>
                      </w:rPr>
                    </m:ctrlPr>
                  </m:sSubSupPr>
                  <m:e>
                    <m:r>
                      <w:rPr>
                        <w:rFonts w:ascii="Cambria Math" w:hAnsi="Cambria Math"/>
                        <w:sz w:val="20"/>
                        <w:szCs w:val="20"/>
                      </w:rPr>
                      <m:t>C</m:t>
                    </m:r>
                    <m:ctrlPr>
                      <w:rPr>
                        <w:rFonts w:ascii="Cambria Math" w:hAnsi="Cambria Math"/>
                        <w:i/>
                        <w:sz w:val="20"/>
                        <w:szCs w:val="20"/>
                      </w:rPr>
                    </m:ctrlPr>
                  </m:e>
                  <m:sub>
                    <m:r>
                      <w:rPr>
                        <w:rFonts w:ascii="Cambria Math" w:hAnsi="Cambria Math"/>
                        <w:sz w:val="20"/>
                        <w:szCs w:val="20"/>
                      </w:rPr>
                      <m:t>N</m:t>
                    </m:r>
                    <m:ctrlPr>
                      <w:rPr>
                        <w:rFonts w:ascii="Cambria Math" w:hAnsi="Cambria Math"/>
                        <w:i/>
                        <w:sz w:val="20"/>
                        <w:szCs w:val="20"/>
                      </w:rPr>
                    </m:ctrlPr>
                  </m:sub>
                  <m:sup>
                    <m:sSub>
                      <m:sSubPr>
                        <m:ctrlPr>
                          <w:rPr>
                            <w:rFonts w:ascii="Cambria Math" w:hAnsi="Cambria Math"/>
                            <w:i/>
                            <w:sz w:val="20"/>
                            <w:szCs w:val="20"/>
                          </w:rPr>
                        </m:ctrlPr>
                      </m:sSubPr>
                      <m:e>
                        <m:r>
                          <w:rPr>
                            <w:rFonts w:ascii="Cambria Math" w:hAnsi="Cambria Math"/>
                            <w:sz w:val="20"/>
                            <w:szCs w:val="20"/>
                          </w:rPr>
                          <m:t>M</m:t>
                        </m:r>
                        <m:ctrlPr>
                          <w:rPr>
                            <w:rFonts w:ascii="Cambria Math" w:hAnsi="Cambria Math"/>
                            <w:i/>
                            <w:sz w:val="20"/>
                            <w:szCs w:val="20"/>
                          </w:rPr>
                        </m:ctrlPr>
                      </m:e>
                      <m:sub>
                        <m:r>
                          <w:rPr>
                            <w:rFonts w:ascii="Cambria Math" w:hAnsi="Cambria Math"/>
                            <w:sz w:val="20"/>
                            <w:szCs w:val="20"/>
                          </w:rPr>
                          <m:t>v</m:t>
                        </m:r>
                        <m:ctrlPr>
                          <w:rPr>
                            <w:rFonts w:ascii="Cambria Math" w:hAnsi="Cambria Math"/>
                            <w:i/>
                            <w:sz w:val="20"/>
                            <w:szCs w:val="20"/>
                          </w:rPr>
                        </m:ctrlPr>
                      </m:sub>
                    </m:sSub>
                    <m:ctrlPr>
                      <w:rPr>
                        <w:rFonts w:ascii="Cambria Math" w:hAnsi="Cambria Math"/>
                        <w:i/>
                        <w:sz w:val="20"/>
                        <w:szCs w:val="20"/>
                      </w:rPr>
                    </m:ctrlPr>
                  </m:sup>
                </m:sSubSup>
                <m:ctrlPr>
                  <w:rPr>
                    <w:rFonts w:ascii="Cambria Math" w:hAnsi="Cambria Math"/>
                    <w:i/>
                    <w:sz w:val="20"/>
                    <w:szCs w:val="20"/>
                  </w:rPr>
                </m:ctrlPr>
              </m:e>
            </m:func>
            <m:ctrlPr>
              <w:rPr>
                <w:rFonts w:ascii="Cambria Math" w:hAnsi="Cambria Math"/>
                <w:sz w:val="20"/>
                <w:szCs w:val="20"/>
              </w:rPr>
            </m:ctrlPr>
          </m:e>
        </m:d>
      </m:oMath>
      <w:r>
        <w:rPr>
          <w:rFonts w:hint="eastAsia" w:ascii="Times New Roman" w:hAnsi="Times New Roman"/>
          <w:sz w:val="20"/>
          <w:szCs w:val="20"/>
        </w:rPr>
        <w:t xml:space="preserve"> </w:t>
      </w:r>
      <w:r>
        <w:rPr>
          <w:rFonts w:ascii="Times New Roman" w:hAnsi="Times New Roman"/>
          <w:sz w:val="20"/>
          <w:szCs w:val="20"/>
        </w:rPr>
        <w:t xml:space="preserve">bits is more efficient from the trade-off between overhead and UE complexity.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w:t>
      </w:r>
      <w:r>
        <w:rPr>
          <w:rFonts w:ascii="Times New Roman" w:hAnsi="Times New Roman"/>
          <w:sz w:val="20"/>
          <w:szCs w:val="20"/>
        </w:rPr>
        <w:t xml:space="preserve">nother remaining issue is the value of R. To increase R is beneficial to achieve higher performance for UE throughput based on previous study in Rel-16. Further, as gNB can precode CSI-RS with any frequency granularity based on its own implementation, supporting higher values for R can make sure UE calculate CSI based on the same assumption of frequency domain granularity as gNB precoding CSI-RS. Further, the number of RBs contained in a PMI subband cannot exceeds the inverse of CSI-RS density, otherwise it will lead to significant performance loss as there is no CSI-RS sample in a PMI subband. The upper bound of R should be </w:t>
      </w:r>
      <m:oMath>
        <m:r>
          <m:rPr>
            <m:sty m:val="p"/>
          </m:rPr>
          <w:rPr>
            <w:rFonts w:ascii="Cambria Math" w:hAnsi="Cambria Math"/>
            <w:sz w:val="20"/>
            <w:szCs w:val="20"/>
            <w:lang w:val="en-GB"/>
          </w:rPr>
          <m:t>D⋅</m:t>
        </m:r>
        <m:sSubSup>
          <m:sSubSupPr>
            <m:ctrlPr>
              <w:rPr>
                <w:rFonts w:ascii="Cambria Math" w:hAnsi="Cambria Math"/>
                <w:sz w:val="20"/>
                <w:szCs w:val="20"/>
                <w:lang w:val="en-GB"/>
              </w:rPr>
            </m:ctrlPr>
          </m:sSubSupPr>
          <m:e>
            <m:r>
              <m:rPr>
                <m:sty m:val="p"/>
              </m:rPr>
              <w:rPr>
                <w:rFonts w:ascii="Cambria Math" w:hAnsi="Cambria Math"/>
                <w:sz w:val="20"/>
                <w:szCs w:val="20"/>
                <w:lang w:val="en-GB"/>
              </w:rPr>
              <m:t>N</m:t>
            </m:r>
            <m:ctrlPr>
              <w:rPr>
                <w:rFonts w:ascii="Cambria Math" w:hAnsi="Cambria Math"/>
                <w:sz w:val="20"/>
                <w:szCs w:val="20"/>
                <w:lang w:val="en-GB"/>
              </w:rPr>
            </m:ctrlPr>
          </m:e>
          <m:sub>
            <m:r>
              <m:rPr>
                <m:sty m:val="p"/>
              </m:rPr>
              <w:rPr>
                <w:rFonts w:ascii="Cambria Math" w:hAnsi="Cambria Math"/>
                <w:sz w:val="20"/>
                <w:szCs w:val="20"/>
                <w:lang w:val="en-GB"/>
              </w:rPr>
              <m:t>PRB</m:t>
            </m:r>
            <m:ctrlPr>
              <w:rPr>
                <w:rFonts w:ascii="Cambria Math" w:hAnsi="Cambria Math"/>
                <w:sz w:val="20"/>
                <w:szCs w:val="20"/>
                <w:lang w:val="en-GB"/>
              </w:rPr>
            </m:ctrlPr>
          </m:sub>
          <m:sup>
            <m:r>
              <m:rPr>
                <m:sty m:val="p"/>
              </m:rPr>
              <w:rPr>
                <w:rFonts w:ascii="Cambria Math" w:hAnsi="Cambria Math"/>
                <w:sz w:val="20"/>
                <w:szCs w:val="20"/>
                <w:lang w:val="en-GB"/>
              </w:rPr>
              <m:t>SB</m:t>
            </m:r>
            <m:ctrlPr>
              <w:rPr>
                <w:rFonts w:ascii="Cambria Math" w:hAnsi="Cambria Math"/>
                <w:sz w:val="20"/>
                <w:szCs w:val="20"/>
                <w:lang w:val="en-GB"/>
              </w:rPr>
            </m:ctrlPr>
          </m:sup>
        </m:sSubSup>
      </m:oMath>
      <w:r>
        <w:rPr>
          <w:rFonts w:hint="eastAsia" w:ascii="Times New Roman" w:hAnsi="Times New Roman"/>
          <w:sz w:val="20"/>
          <w:szCs w:val="20"/>
          <w:lang w:val="en-GB"/>
        </w:rPr>
        <w:t>,</w:t>
      </w:r>
      <w:r>
        <w:rPr>
          <w:rFonts w:ascii="Times New Roman" w:hAnsi="Times New Roman"/>
          <w:sz w:val="20"/>
          <w:szCs w:val="20"/>
          <w:lang w:val="en-GB"/>
        </w:rPr>
        <w:t xml:space="preserve"> where D is the density of CSI-RS. Therefore, we support the R values from {1, </w:t>
      </w:r>
      <m:oMath>
        <m:r>
          <m:rPr>
            <m:sty m:val="p"/>
          </m:rPr>
          <w:rPr>
            <w:rFonts w:ascii="Cambria Math" w:hAnsi="Cambria Math"/>
            <w:sz w:val="20"/>
            <w:szCs w:val="20"/>
            <w:lang w:val="en-GB"/>
          </w:rPr>
          <m:t>D⋅</m:t>
        </m:r>
        <m:sSubSup>
          <m:sSubSupPr>
            <m:ctrlPr>
              <w:rPr>
                <w:rFonts w:ascii="Cambria Math" w:hAnsi="Cambria Math"/>
                <w:sz w:val="20"/>
                <w:szCs w:val="20"/>
                <w:lang w:val="en-GB"/>
              </w:rPr>
            </m:ctrlPr>
          </m:sSubSupPr>
          <m:e>
            <m:r>
              <m:rPr>
                <m:sty m:val="p"/>
              </m:rPr>
              <w:rPr>
                <w:rFonts w:ascii="Cambria Math" w:hAnsi="Cambria Math"/>
                <w:sz w:val="20"/>
                <w:szCs w:val="20"/>
                <w:lang w:val="en-GB"/>
              </w:rPr>
              <m:t>N</m:t>
            </m:r>
            <m:ctrlPr>
              <w:rPr>
                <w:rFonts w:ascii="Cambria Math" w:hAnsi="Cambria Math"/>
                <w:sz w:val="20"/>
                <w:szCs w:val="20"/>
                <w:lang w:val="en-GB"/>
              </w:rPr>
            </m:ctrlPr>
          </m:e>
          <m:sub>
            <m:r>
              <m:rPr>
                <m:sty m:val="p"/>
              </m:rPr>
              <w:rPr>
                <w:rFonts w:ascii="Cambria Math" w:hAnsi="Cambria Math"/>
                <w:sz w:val="20"/>
                <w:szCs w:val="20"/>
                <w:lang w:val="en-GB"/>
              </w:rPr>
              <m:t>PRB</m:t>
            </m:r>
            <m:ctrlPr>
              <w:rPr>
                <w:rFonts w:ascii="Cambria Math" w:hAnsi="Cambria Math"/>
                <w:sz w:val="20"/>
                <w:szCs w:val="20"/>
                <w:lang w:val="en-GB"/>
              </w:rPr>
            </m:ctrlPr>
          </m:sub>
          <m:sup>
            <m:r>
              <m:rPr>
                <m:sty m:val="p"/>
              </m:rPr>
              <w:rPr>
                <w:rFonts w:ascii="Cambria Math" w:hAnsi="Cambria Math"/>
                <w:sz w:val="20"/>
                <w:szCs w:val="20"/>
                <w:lang w:val="en-GB"/>
              </w:rPr>
              <m:t>SB</m:t>
            </m:r>
            <m:ctrlPr>
              <w:rPr>
                <w:rFonts w:ascii="Cambria Math" w:hAnsi="Cambria Math"/>
                <w:sz w:val="20"/>
                <w:szCs w:val="20"/>
                <w:lang w:val="en-GB"/>
              </w:rPr>
            </m:ctrlPr>
          </m:sup>
        </m:sSubSup>
      </m:oMath>
      <w:r>
        <w:rPr>
          <w:rFonts w:ascii="Times New Roman" w:hAnsi="Times New Roman"/>
          <w:sz w:val="20"/>
          <w:szCs w:val="20"/>
          <w:lang w:val="en-GB"/>
        </w:rPr>
        <w:t>}.</w:t>
      </w:r>
    </w:p>
    <w:p>
      <w:pPr>
        <w:snapToGrid w:val="0"/>
        <w:spacing w:before="180" w:beforeLines="50" w:after="180" w:afterLines="50" w:line="240" w:lineRule="auto"/>
        <w:jc w:val="both"/>
        <w:rPr>
          <w:rFonts w:ascii="Times New Roman" w:hAnsi="Times New Roman"/>
          <w:b/>
          <w:i/>
          <w:sz w:val="20"/>
          <w:szCs w:val="20"/>
        </w:rPr>
      </w:pPr>
      <w:r>
        <w:rPr>
          <w:rFonts w:hint="eastAsia" w:ascii="Times New Roman" w:hAnsi="Times New Roman"/>
          <w:b/>
          <w:i/>
          <w:sz w:val="20"/>
          <w:szCs w:val="20"/>
        </w:rPr>
        <w:t>P</w:t>
      </w:r>
      <w:r>
        <w:rPr>
          <w:rFonts w:ascii="Times New Roman" w:hAnsi="Times New Roman"/>
          <w:b/>
          <w:i/>
          <w:sz w:val="20"/>
          <w:szCs w:val="20"/>
        </w:rPr>
        <w:t xml:space="preserve">roposal </w:t>
      </w:r>
      <w:r>
        <w:rPr>
          <w:rFonts w:hint="eastAsia" w:ascii="Times New Roman" w:hAnsi="Times New Roman"/>
          <w:b/>
          <w:i/>
          <w:sz w:val="20"/>
          <w:szCs w:val="20"/>
        </w:rPr>
        <w:t>10</w:t>
      </w:r>
      <w:r>
        <w:rPr>
          <w:rFonts w:ascii="Times New Roman" w:hAnsi="Times New Roman"/>
          <w:b/>
          <w:i/>
          <w:sz w:val="20"/>
          <w:szCs w:val="20"/>
        </w:rPr>
        <w:t xml:space="preserve">: </w:t>
      </w:r>
      <w:r>
        <w:rPr>
          <w:rFonts w:ascii="Times New Roman" w:hAnsi="Times New Roman"/>
          <w:i/>
          <w:sz w:val="20"/>
          <w:szCs w:val="20"/>
        </w:rPr>
        <w:t>On Wf in Rel-17 PS codebook</w:t>
      </w:r>
    </w:p>
    <w:p>
      <w:pPr>
        <w:pStyle w:val="97"/>
        <w:numPr>
          <w:ilvl w:val="0"/>
          <w:numId w:val="15"/>
        </w:numPr>
        <w:snapToGrid w:val="0"/>
        <w:spacing w:before="180" w:beforeLines="50" w:after="180" w:afterLines="50" w:line="240" w:lineRule="auto"/>
        <w:ind w:leftChars="0"/>
        <w:jc w:val="both"/>
        <w:rPr>
          <w:rFonts w:ascii="Times New Roman" w:hAnsi="Times New Roman"/>
          <w:i/>
          <w:sz w:val="20"/>
          <w:szCs w:val="20"/>
        </w:rPr>
      </w:pPr>
      <w:r>
        <w:rPr>
          <w:rFonts w:hint="eastAsia" w:ascii="Times New Roman" w:hAnsi="Times New Roman"/>
          <w:i/>
          <w:sz w:val="20"/>
          <w:szCs w:val="20"/>
        </w:rPr>
        <w:t>S</w:t>
      </w:r>
      <w:r>
        <w:rPr>
          <w:rFonts w:ascii="Times New Roman" w:hAnsi="Times New Roman"/>
          <w:i/>
          <w:sz w:val="20"/>
          <w:szCs w:val="20"/>
        </w:rPr>
        <w:t>upport the following (N, Mv) values</w:t>
      </w:r>
    </w:p>
    <w:p>
      <w:pPr>
        <w:pStyle w:val="97"/>
        <w:numPr>
          <w:ilvl w:val="1"/>
          <w:numId w:val="15"/>
        </w:numPr>
        <w:snapToGrid w:val="0"/>
        <w:spacing w:before="180" w:beforeLines="50" w:after="180" w:afterLines="50" w:line="240" w:lineRule="auto"/>
        <w:ind w:leftChars="0"/>
        <w:jc w:val="both"/>
        <w:rPr>
          <w:rFonts w:ascii="Times New Roman" w:hAnsi="Times New Roman"/>
          <w:i/>
          <w:sz w:val="20"/>
          <w:szCs w:val="20"/>
        </w:rPr>
      </w:pPr>
      <w:r>
        <w:rPr>
          <w:rFonts w:ascii="Times New Roman" w:hAnsi="Times New Roman"/>
          <w:i/>
          <w:sz w:val="20"/>
          <w:szCs w:val="20"/>
        </w:rPr>
        <w:t>N = {2, 4} for Mv=2</w:t>
      </w:r>
    </w:p>
    <w:p>
      <w:pPr>
        <w:pStyle w:val="97"/>
        <w:numPr>
          <w:ilvl w:val="1"/>
          <w:numId w:val="15"/>
        </w:numPr>
        <w:snapToGrid w:val="0"/>
        <w:spacing w:before="180" w:beforeLines="50" w:after="180" w:afterLines="50" w:line="240" w:lineRule="auto"/>
        <w:ind w:leftChars="0"/>
        <w:jc w:val="both"/>
        <w:rPr>
          <w:rFonts w:ascii="Times New Roman" w:hAnsi="Times New Roman"/>
          <w:i/>
          <w:sz w:val="20"/>
          <w:szCs w:val="20"/>
        </w:rPr>
      </w:pPr>
      <w:r>
        <w:rPr>
          <w:rFonts w:ascii="Times New Roman" w:hAnsi="Times New Roman"/>
          <w:i/>
          <w:sz w:val="20"/>
          <w:szCs w:val="20"/>
        </w:rPr>
        <w:t>N=1 for Mv=1</w:t>
      </w:r>
    </w:p>
    <w:p>
      <w:pPr>
        <w:pStyle w:val="97"/>
        <w:numPr>
          <w:ilvl w:val="0"/>
          <w:numId w:val="15"/>
        </w:numPr>
        <w:snapToGrid w:val="0"/>
        <w:spacing w:before="180" w:beforeLines="50" w:after="180" w:afterLines="50" w:line="240" w:lineRule="auto"/>
        <w:ind w:leftChars="0"/>
        <w:jc w:val="both"/>
        <w:rPr>
          <w:rFonts w:ascii="Times New Roman" w:hAnsi="Times New Roman"/>
          <w:i/>
          <w:sz w:val="20"/>
          <w:szCs w:val="20"/>
        </w:rPr>
      </w:pPr>
      <w:r>
        <w:rPr>
          <w:rFonts w:ascii="Times New Roman" w:hAnsi="Times New Roman"/>
          <w:i/>
          <w:sz w:val="20"/>
          <w:szCs w:val="20"/>
        </w:rPr>
        <w:t xml:space="preserve">For N&gt;Mv, use </w:t>
      </w:r>
      <m:oMath>
        <m:d>
          <m:dPr>
            <m:begChr m:val="⌈"/>
            <m:endChr m:val="⌉"/>
            <m:ctrlPr>
              <w:rPr>
                <w:rFonts w:ascii="Cambria Math" w:hAnsi="Cambria Math"/>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w:rPr>
                        <w:rFonts w:ascii="Cambria Math" w:hAnsi="Cambria Math"/>
                        <w:sz w:val="20"/>
                        <w:szCs w:val="20"/>
                      </w:rPr>
                      <m:t>log</m:t>
                    </m:r>
                    <m:ctrlPr>
                      <w:rPr>
                        <w:rFonts w:ascii="Cambria Math" w:hAnsi="Cambria Math"/>
                        <w:i/>
                        <w:sz w:val="20"/>
                        <w:szCs w:val="20"/>
                      </w:rPr>
                    </m:ctrlPr>
                  </m:e>
                  <m:sub>
                    <m:r>
                      <w:rPr>
                        <w:rFonts w:ascii="Cambria Math" w:hAnsi="Cambria Math"/>
                        <w:sz w:val="20"/>
                        <w:szCs w:val="20"/>
                      </w:rPr>
                      <m:t>2</m:t>
                    </m:r>
                    <m:ctrlPr>
                      <w:rPr>
                        <w:rFonts w:ascii="Cambria Math" w:hAnsi="Cambria Math"/>
                        <w:i/>
                        <w:sz w:val="20"/>
                        <w:szCs w:val="20"/>
                      </w:rPr>
                    </m:ctrlPr>
                  </m:sub>
                </m:sSub>
                <m:ctrlPr>
                  <w:rPr>
                    <w:rFonts w:ascii="Cambria Math" w:hAnsi="Cambria Math"/>
                    <w:i/>
                    <w:sz w:val="20"/>
                    <w:szCs w:val="20"/>
                  </w:rPr>
                </m:ctrlPr>
              </m:fName>
              <m:e>
                <m:sSubSup>
                  <m:sSubSupPr>
                    <m:ctrlPr>
                      <w:rPr>
                        <w:rFonts w:ascii="Cambria Math" w:hAnsi="Cambria Math"/>
                        <w:i/>
                        <w:sz w:val="20"/>
                        <w:szCs w:val="20"/>
                      </w:rPr>
                    </m:ctrlPr>
                  </m:sSubSupPr>
                  <m:e>
                    <m:r>
                      <w:rPr>
                        <w:rFonts w:ascii="Cambria Math" w:hAnsi="Cambria Math"/>
                        <w:sz w:val="20"/>
                        <w:szCs w:val="20"/>
                      </w:rPr>
                      <m:t>C</m:t>
                    </m:r>
                    <m:ctrlPr>
                      <w:rPr>
                        <w:rFonts w:ascii="Cambria Math" w:hAnsi="Cambria Math"/>
                        <w:i/>
                        <w:sz w:val="20"/>
                        <w:szCs w:val="20"/>
                      </w:rPr>
                    </m:ctrlPr>
                  </m:e>
                  <m:sub>
                    <m:r>
                      <w:rPr>
                        <w:rFonts w:ascii="Cambria Math" w:hAnsi="Cambria Math"/>
                        <w:sz w:val="20"/>
                        <w:szCs w:val="20"/>
                      </w:rPr>
                      <m:t>N</m:t>
                    </m:r>
                    <m:ctrlPr>
                      <w:rPr>
                        <w:rFonts w:ascii="Cambria Math" w:hAnsi="Cambria Math"/>
                        <w:i/>
                        <w:sz w:val="20"/>
                        <w:szCs w:val="20"/>
                      </w:rPr>
                    </m:ctrlPr>
                  </m:sub>
                  <m:sup>
                    <m:sSub>
                      <m:sSubPr>
                        <m:ctrlPr>
                          <w:rPr>
                            <w:rFonts w:ascii="Cambria Math" w:hAnsi="Cambria Math"/>
                            <w:i/>
                            <w:sz w:val="20"/>
                            <w:szCs w:val="20"/>
                          </w:rPr>
                        </m:ctrlPr>
                      </m:sSubPr>
                      <m:e>
                        <m:r>
                          <w:rPr>
                            <w:rFonts w:ascii="Cambria Math" w:hAnsi="Cambria Math"/>
                            <w:sz w:val="20"/>
                            <w:szCs w:val="20"/>
                          </w:rPr>
                          <m:t>M</m:t>
                        </m:r>
                        <m:ctrlPr>
                          <w:rPr>
                            <w:rFonts w:ascii="Cambria Math" w:hAnsi="Cambria Math"/>
                            <w:i/>
                            <w:sz w:val="20"/>
                            <w:szCs w:val="20"/>
                          </w:rPr>
                        </m:ctrlPr>
                      </m:e>
                      <m:sub>
                        <m:r>
                          <w:rPr>
                            <w:rFonts w:ascii="Cambria Math" w:hAnsi="Cambria Math"/>
                            <w:sz w:val="20"/>
                            <w:szCs w:val="20"/>
                          </w:rPr>
                          <m:t>v</m:t>
                        </m:r>
                        <m:ctrlPr>
                          <w:rPr>
                            <w:rFonts w:ascii="Cambria Math" w:hAnsi="Cambria Math"/>
                            <w:i/>
                            <w:sz w:val="20"/>
                            <w:szCs w:val="20"/>
                          </w:rPr>
                        </m:ctrlPr>
                      </m:sub>
                    </m:sSub>
                    <m:ctrlPr>
                      <w:rPr>
                        <w:rFonts w:ascii="Cambria Math" w:hAnsi="Cambria Math"/>
                        <w:i/>
                        <w:sz w:val="20"/>
                        <w:szCs w:val="20"/>
                      </w:rPr>
                    </m:ctrlPr>
                  </m:sup>
                </m:sSubSup>
                <m:ctrlPr>
                  <w:rPr>
                    <w:rFonts w:ascii="Cambria Math" w:hAnsi="Cambria Math"/>
                    <w:i/>
                    <w:sz w:val="20"/>
                    <w:szCs w:val="20"/>
                  </w:rPr>
                </m:ctrlPr>
              </m:e>
            </m:func>
            <m:ctrlPr>
              <w:rPr>
                <w:rFonts w:ascii="Cambria Math" w:hAnsi="Cambria Math"/>
                <w:sz w:val="20"/>
                <w:szCs w:val="20"/>
              </w:rPr>
            </m:ctrlPr>
          </m:e>
        </m:d>
      </m:oMath>
      <w:r>
        <w:rPr>
          <w:rFonts w:hint="eastAsia" w:ascii="Times New Roman" w:hAnsi="Times New Roman"/>
          <w:i/>
          <w:sz w:val="20"/>
          <w:szCs w:val="20"/>
        </w:rPr>
        <w:t xml:space="preserve"> </w:t>
      </w:r>
      <w:r>
        <w:rPr>
          <w:rFonts w:ascii="Times New Roman" w:hAnsi="Times New Roman"/>
          <w:i/>
          <w:sz w:val="20"/>
          <w:szCs w:val="20"/>
        </w:rPr>
        <w:t>bits to report Wf.</w:t>
      </w:r>
    </w:p>
    <w:p>
      <w:pPr>
        <w:pStyle w:val="97"/>
        <w:numPr>
          <w:ilvl w:val="0"/>
          <w:numId w:val="15"/>
        </w:numPr>
        <w:snapToGrid w:val="0"/>
        <w:spacing w:before="180" w:beforeLines="50" w:after="180" w:afterLines="50" w:line="240" w:lineRule="auto"/>
        <w:ind w:leftChars="0"/>
        <w:jc w:val="both"/>
        <w:rPr>
          <w:rFonts w:ascii="Times New Roman" w:hAnsi="Times New Roman"/>
          <w:i/>
          <w:sz w:val="20"/>
          <w:szCs w:val="20"/>
        </w:rPr>
      </w:pPr>
      <w:r>
        <w:rPr>
          <w:rFonts w:ascii="Times New Roman" w:hAnsi="Times New Roman"/>
          <w:i/>
          <w:sz w:val="20"/>
          <w:szCs w:val="20"/>
        </w:rPr>
        <w:t>For rank 3-4, use the same design of length-N window for UE reporting as rank 1/2. The supported values of Mv and N are same as rank 1/2.</w:t>
      </w:r>
    </w:p>
    <w:p>
      <w:pPr>
        <w:pStyle w:val="97"/>
        <w:numPr>
          <w:ilvl w:val="0"/>
          <w:numId w:val="15"/>
        </w:numPr>
        <w:snapToGrid w:val="0"/>
        <w:spacing w:before="180" w:beforeLines="50" w:after="180" w:afterLines="50" w:line="240" w:lineRule="auto"/>
        <w:ind w:leftChars="0"/>
        <w:jc w:val="both"/>
        <w:rPr>
          <w:rFonts w:ascii="Times New Roman" w:hAnsi="Times New Roman"/>
          <w:i/>
          <w:sz w:val="20"/>
          <w:szCs w:val="20"/>
        </w:rPr>
      </w:pPr>
      <w:r>
        <w:rPr>
          <w:rFonts w:ascii="Times New Roman" w:hAnsi="Times New Roman"/>
          <w:i/>
          <w:sz w:val="20"/>
          <w:szCs w:val="20"/>
        </w:rPr>
        <w:t xml:space="preserve">Support R from the set </w:t>
      </w:r>
      <w:r>
        <w:rPr>
          <w:rFonts w:ascii="Times New Roman" w:hAnsi="Times New Roman"/>
          <w:i/>
          <w:sz w:val="20"/>
          <w:szCs w:val="20"/>
          <w:lang w:val="en-GB"/>
        </w:rPr>
        <w:t xml:space="preserve">{1, </w:t>
      </w:r>
      <m:oMath>
        <m:r>
          <w:rPr>
            <w:rFonts w:ascii="Cambria Math" w:hAnsi="Cambria Math"/>
            <w:sz w:val="20"/>
            <w:szCs w:val="20"/>
            <w:lang w:val="en-GB"/>
          </w:rPr>
          <m:t>D⋅</m:t>
        </m:r>
        <m:sSubSup>
          <m:sSubSupPr>
            <m:ctrlPr>
              <w:rPr>
                <w:rFonts w:ascii="Cambria Math" w:hAnsi="Cambria Math"/>
                <w:i/>
                <w:sz w:val="20"/>
                <w:szCs w:val="20"/>
                <w:lang w:val="en-GB"/>
              </w:rPr>
            </m:ctrlPr>
          </m:sSubSupPr>
          <m:e>
            <m:r>
              <w:rPr>
                <w:rFonts w:ascii="Cambria Math" w:hAnsi="Cambria Math"/>
                <w:sz w:val="20"/>
                <w:szCs w:val="20"/>
                <w:lang w:val="en-GB"/>
              </w:rPr>
              <m:t>N</m:t>
            </m:r>
            <m:ctrlPr>
              <w:rPr>
                <w:rFonts w:ascii="Cambria Math" w:hAnsi="Cambria Math"/>
                <w:i/>
                <w:sz w:val="20"/>
                <w:szCs w:val="20"/>
                <w:lang w:val="en-GB"/>
              </w:rPr>
            </m:ctrlPr>
          </m:e>
          <m:sub>
            <m:r>
              <w:rPr>
                <w:rFonts w:ascii="Cambria Math" w:hAnsi="Cambria Math"/>
                <w:sz w:val="20"/>
                <w:szCs w:val="20"/>
                <w:lang w:val="en-GB"/>
              </w:rPr>
              <m:t>PRB</m:t>
            </m:r>
            <m:ctrlPr>
              <w:rPr>
                <w:rFonts w:ascii="Cambria Math" w:hAnsi="Cambria Math"/>
                <w:i/>
                <w:sz w:val="20"/>
                <w:szCs w:val="20"/>
                <w:lang w:val="en-GB"/>
              </w:rPr>
            </m:ctrlPr>
          </m:sub>
          <m:sup>
            <m:r>
              <w:rPr>
                <w:rFonts w:ascii="Cambria Math" w:hAnsi="Cambria Math"/>
                <w:sz w:val="20"/>
                <w:szCs w:val="20"/>
                <w:lang w:val="en-GB"/>
              </w:rPr>
              <m:t>SB</m:t>
            </m:r>
            <m:ctrlPr>
              <w:rPr>
                <w:rFonts w:ascii="Cambria Math" w:hAnsi="Cambria Math"/>
                <w:i/>
                <w:sz w:val="20"/>
                <w:szCs w:val="20"/>
                <w:lang w:val="en-GB"/>
              </w:rPr>
            </m:ctrlPr>
          </m:sup>
        </m:sSubSup>
      </m:oMath>
      <w:r>
        <w:rPr>
          <w:rFonts w:ascii="Times New Roman" w:hAnsi="Times New Roman"/>
          <w:i/>
          <w:sz w:val="20"/>
          <w:szCs w:val="20"/>
          <w:lang w:val="en-GB"/>
        </w:rPr>
        <w:t>}</w:t>
      </w:r>
      <w:r>
        <w:rPr>
          <w:rFonts w:ascii="Times New Roman" w:hAnsi="Times New Roman"/>
          <w:i/>
          <w:sz w:val="20"/>
          <w:szCs w:val="20"/>
        </w:rPr>
        <w: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O</w:t>
      </w:r>
      <w:r>
        <w:rPr>
          <w:rFonts w:ascii="Times New Roman" w:hAnsi="Times New Roman"/>
          <w:sz w:val="20"/>
          <w:szCs w:val="20"/>
        </w:rPr>
        <w:t>ne heated discussion in RAN1#105e is Wf off vs Mv=1 as given in Agreement #12. From technical perspective, the precoding matrix acquired by gNB is same for Wf off and Mv=1. Hence it is not needed to introduce a DFT vector in frequency domain, which complicates the codebook design and restricts the UE behavior to calculate PMI. Hence we think Alt 2 can be supported.</w:t>
      </w:r>
    </w:p>
    <w:p>
      <w:pPr>
        <w:pStyle w:val="97"/>
        <w:numPr>
          <w:ilvl w:val="0"/>
          <w:numId w:val="15"/>
        </w:numPr>
        <w:snapToGrid w:val="0"/>
        <w:spacing w:before="180" w:beforeLines="50" w:after="180" w:afterLines="50" w:line="240" w:lineRule="auto"/>
        <w:ind w:leftChars="0"/>
        <w:jc w:val="both"/>
        <w:rPr>
          <w:rFonts w:ascii="Times New Roman" w:hAnsi="Times New Roman"/>
          <w:sz w:val="20"/>
          <w:szCs w:val="20"/>
        </w:rPr>
      </w:pPr>
      <w:r>
        <w:rPr>
          <w:rFonts w:hint="eastAsia" w:ascii="Times New Roman" w:hAnsi="Times New Roman"/>
          <w:sz w:val="20"/>
          <w:szCs w:val="20"/>
        </w:rPr>
        <w:t>F</w:t>
      </w:r>
      <w:r>
        <w:rPr>
          <w:rFonts w:ascii="Times New Roman" w:hAnsi="Times New Roman"/>
          <w:sz w:val="20"/>
          <w:szCs w:val="20"/>
        </w:rPr>
        <w:t xml:space="preserve">urther, if Alt 2 is supported, the PMI is actually wideband as there is no subband component in the </w:t>
      </w:r>
      <w:r>
        <w:rPr>
          <w:rFonts w:hint="eastAsia" w:ascii="Times New Roman" w:hAnsi="Times New Roman"/>
          <w:sz w:val="20"/>
          <w:szCs w:val="20"/>
        </w:rPr>
        <w:t>PMI</w:t>
      </w:r>
      <w:r>
        <w:rPr>
          <w:rFonts w:ascii="Times New Roman" w:hAnsi="Times New Roman"/>
          <w:sz w:val="20"/>
          <w:szCs w:val="20"/>
        </w:rPr>
        <w:t>. Such WB PMI reduces the UE complexity. For Mv&gt;1, the PMI is actually subband. Hence we can use PMI format in the CSI reporting configuration to configure whether it is Wf off or Wf on (Mv=2). Then there is no need to introduce a new dedicated RRC parameter for Mv as PMI format already exists in the RRC message.</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B</w:t>
      </w:r>
      <w:r>
        <w:rPr>
          <w:rFonts w:ascii="Times New Roman" w:hAnsi="Times New Roman"/>
          <w:sz w:val="20"/>
          <w:szCs w:val="20"/>
        </w:rPr>
        <w:t>ased on the discussion in previous meetings, some companies argued that to keep Mv=1 is beneficial to make the codebook design consistent in terms to three-level codebook structure. Then Alt 3 is also acceptable to us as a compromise. We think it is important to make use of WB PMI in Rel-17 as to reduce UE complexity is one ultimate goal for this enhancement.</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Proposal </w:t>
      </w:r>
      <w:r>
        <w:rPr>
          <w:rFonts w:hint="eastAsia" w:ascii="Times New Roman" w:hAnsi="Times New Roman"/>
          <w:b/>
          <w:i/>
          <w:sz w:val="20"/>
          <w:szCs w:val="20"/>
        </w:rPr>
        <w:t>11</w:t>
      </w:r>
      <w:r>
        <w:rPr>
          <w:rFonts w:ascii="Times New Roman" w:hAnsi="Times New Roman"/>
          <w:b/>
          <w:i/>
          <w:sz w:val="20"/>
          <w:szCs w:val="20"/>
        </w:rPr>
        <w:t xml:space="preserve">: </w:t>
      </w:r>
      <w:r>
        <w:rPr>
          <w:rFonts w:ascii="Times New Roman" w:hAnsi="Times New Roman"/>
          <w:i/>
          <w:sz w:val="20"/>
          <w:szCs w:val="20"/>
        </w:rPr>
        <w:t>For Wf off vs Mv=1</w:t>
      </w:r>
    </w:p>
    <w:p>
      <w:pPr>
        <w:pStyle w:val="97"/>
        <w:numPr>
          <w:ilvl w:val="0"/>
          <w:numId w:val="15"/>
        </w:numPr>
        <w:snapToGrid w:val="0"/>
        <w:spacing w:before="180" w:beforeLines="50" w:after="180" w:afterLines="50" w:line="240" w:lineRule="auto"/>
        <w:ind w:leftChars="0"/>
        <w:jc w:val="both"/>
        <w:rPr>
          <w:rFonts w:ascii="Times New Roman" w:hAnsi="Times New Roman"/>
          <w:i/>
          <w:sz w:val="20"/>
          <w:szCs w:val="20"/>
        </w:rPr>
      </w:pPr>
      <w:r>
        <w:rPr>
          <w:rFonts w:hint="eastAsia" w:ascii="Times New Roman" w:hAnsi="Times New Roman"/>
          <w:i/>
          <w:sz w:val="20"/>
          <w:szCs w:val="20"/>
        </w:rPr>
        <w:t>S</w:t>
      </w:r>
      <w:r>
        <w:rPr>
          <w:rFonts w:ascii="Times New Roman" w:hAnsi="Times New Roman"/>
          <w:i/>
          <w:sz w:val="20"/>
          <w:szCs w:val="20"/>
        </w:rPr>
        <w:t xml:space="preserve">upport Alt 2: </w:t>
      </w:r>
      <w:r>
        <w:rPr>
          <w:rFonts w:ascii="Times New Roman" w:hAnsi="Times New Roman"/>
          <w:i/>
          <w:sz w:val="20"/>
          <w:szCs w:val="20"/>
          <w:lang w:val="en-GB"/>
        </w:rPr>
        <w:t>W</w:t>
      </w:r>
      <w:r>
        <w:rPr>
          <w:rFonts w:ascii="Times New Roman" w:hAnsi="Times New Roman"/>
          <w:i/>
          <w:sz w:val="20"/>
          <w:szCs w:val="20"/>
          <w:vertAlign w:val="subscript"/>
          <w:lang w:val="en-GB"/>
        </w:rPr>
        <w:t>f</w:t>
      </w:r>
      <w:r>
        <w:rPr>
          <w:rFonts w:ascii="Times New Roman" w:hAnsi="Times New Roman"/>
          <w:i/>
          <w:sz w:val="20"/>
          <w:szCs w:val="20"/>
          <w:lang w:val="en-GB"/>
        </w:rPr>
        <w:t xml:space="preserve"> OFF and W</w:t>
      </w:r>
      <w:r>
        <w:rPr>
          <w:rFonts w:ascii="Times New Roman" w:hAnsi="Times New Roman"/>
          <w:i/>
          <w:sz w:val="20"/>
          <w:szCs w:val="20"/>
          <w:vertAlign w:val="subscript"/>
          <w:lang w:val="en-GB"/>
        </w:rPr>
        <w:t>f</w:t>
      </w:r>
      <w:r>
        <w:rPr>
          <w:rFonts w:ascii="Times New Roman" w:hAnsi="Times New Roman"/>
          <w:i/>
          <w:sz w:val="20"/>
          <w:szCs w:val="20"/>
          <w:lang w:val="en-GB"/>
        </w:rPr>
        <w:t xml:space="preserve"> ON with M</w:t>
      </w:r>
      <w:r>
        <w:rPr>
          <w:rFonts w:ascii="Times New Roman" w:hAnsi="Times New Roman"/>
          <w:i/>
          <w:sz w:val="20"/>
          <w:szCs w:val="20"/>
          <w:vertAlign w:val="subscript"/>
          <w:lang w:val="en-GB"/>
        </w:rPr>
        <w:t>v</w:t>
      </w:r>
      <w:r>
        <w:rPr>
          <w:rFonts w:ascii="Times New Roman" w:hAnsi="Times New Roman"/>
          <w:i/>
          <w:sz w:val="20"/>
          <w:szCs w:val="20"/>
          <w:lang w:val="en-GB"/>
        </w:rPr>
        <w:t>=1 are same, and W</w:t>
      </w:r>
      <w:r>
        <w:rPr>
          <w:rFonts w:ascii="Times New Roman" w:hAnsi="Times New Roman"/>
          <w:i/>
          <w:sz w:val="20"/>
          <w:szCs w:val="20"/>
          <w:vertAlign w:val="subscript"/>
          <w:lang w:val="en-GB"/>
        </w:rPr>
        <w:t>f</w:t>
      </w:r>
      <w:r>
        <w:rPr>
          <w:rFonts w:ascii="Times New Roman" w:hAnsi="Times New Roman"/>
          <w:i/>
          <w:sz w:val="20"/>
          <w:szCs w:val="20"/>
          <w:lang w:val="en-GB"/>
        </w:rPr>
        <w:t xml:space="preserve"> is an all-one vector of length 1, i.e., a scalar. W</w:t>
      </w:r>
      <w:r>
        <w:rPr>
          <w:rFonts w:ascii="Times New Roman" w:hAnsi="Times New Roman"/>
          <w:i/>
          <w:sz w:val="20"/>
          <w:szCs w:val="20"/>
          <w:vertAlign w:val="subscript"/>
          <w:lang w:val="en-GB"/>
        </w:rPr>
        <w:t>f</w:t>
      </w:r>
      <w:r>
        <w:rPr>
          <w:rFonts w:ascii="Times New Roman" w:hAnsi="Times New Roman"/>
          <w:i/>
          <w:sz w:val="20"/>
          <w:szCs w:val="20"/>
          <w:lang w:val="en-GB"/>
        </w:rPr>
        <w:t xml:space="preserve"> as an all-one vector of length N</w:t>
      </w:r>
      <w:r>
        <w:rPr>
          <w:rFonts w:ascii="Times New Roman" w:hAnsi="Times New Roman"/>
          <w:i/>
          <w:sz w:val="20"/>
          <w:szCs w:val="20"/>
          <w:vertAlign w:val="subscript"/>
          <w:lang w:val="en-GB"/>
        </w:rPr>
        <w:t>3</w:t>
      </w:r>
      <w:r>
        <w:rPr>
          <w:rFonts w:ascii="Times New Roman" w:hAnsi="Times New Roman"/>
          <w:i/>
          <w:sz w:val="20"/>
          <w:szCs w:val="20"/>
          <w:lang w:val="en-GB"/>
        </w:rPr>
        <w:t xml:space="preserve"> is not needed.</w:t>
      </w:r>
    </w:p>
    <w:p>
      <w:pPr>
        <w:pStyle w:val="97"/>
        <w:numPr>
          <w:ilvl w:val="1"/>
          <w:numId w:val="15"/>
        </w:numPr>
        <w:snapToGrid w:val="0"/>
        <w:spacing w:before="180" w:beforeLines="50" w:after="180" w:afterLines="50" w:line="240" w:lineRule="auto"/>
        <w:ind w:leftChars="0"/>
        <w:jc w:val="both"/>
        <w:rPr>
          <w:rFonts w:ascii="Times New Roman" w:hAnsi="Times New Roman"/>
          <w:i/>
          <w:sz w:val="20"/>
          <w:szCs w:val="20"/>
        </w:rPr>
      </w:pPr>
      <w:r>
        <w:rPr>
          <w:rFonts w:ascii="Times New Roman" w:hAnsi="Times New Roman"/>
          <w:i/>
          <w:sz w:val="20"/>
          <w:szCs w:val="20"/>
          <w:lang w:val="en-GB"/>
        </w:rPr>
        <w:t>Use PMI format to configure Wf off or Wf on with Mv=2. If PMI format is configured as WB, Wf is off; otherwise Wf is on with Mv=2.</w:t>
      </w:r>
    </w:p>
    <w:p>
      <w:pPr>
        <w:pStyle w:val="97"/>
        <w:numPr>
          <w:ilvl w:val="0"/>
          <w:numId w:val="15"/>
        </w:numPr>
        <w:snapToGrid w:val="0"/>
        <w:spacing w:before="180" w:beforeLines="50" w:after="180" w:afterLines="50" w:line="240" w:lineRule="auto"/>
        <w:ind w:leftChars="0"/>
        <w:jc w:val="both"/>
        <w:rPr>
          <w:rFonts w:ascii="Times New Roman" w:hAnsi="Times New Roman"/>
          <w:i/>
          <w:sz w:val="20"/>
          <w:szCs w:val="20"/>
        </w:rPr>
      </w:pPr>
      <w:r>
        <w:rPr>
          <w:rFonts w:hint="eastAsia" w:ascii="Times New Roman" w:hAnsi="Times New Roman"/>
          <w:i/>
          <w:sz w:val="20"/>
          <w:szCs w:val="20"/>
        </w:rPr>
        <w:t>A</w:t>
      </w:r>
      <w:r>
        <w:rPr>
          <w:rFonts w:ascii="Times New Roman" w:hAnsi="Times New Roman"/>
          <w:i/>
          <w:sz w:val="20"/>
          <w:szCs w:val="20"/>
        </w:rPr>
        <w:t>lt 3 can be supported if Alt 2 is not supported.</w:t>
      </w:r>
    </w:p>
    <w:p>
      <w:pPr>
        <w:snapToGrid w:val="0"/>
        <w:spacing w:before="180" w:beforeLines="50" w:after="180" w:afterLines="50" w:line="240" w:lineRule="auto"/>
        <w:jc w:val="both"/>
        <w:rPr>
          <w:rFonts w:ascii="Times New Roman" w:hAnsi="Times New Roman"/>
          <w:b/>
          <w:sz w:val="20"/>
          <w:szCs w:val="20"/>
          <w:u w:val="single"/>
        </w:rPr>
      </w:pPr>
      <w:r>
        <w:rPr>
          <w:rFonts w:hint="eastAsia" w:ascii="Times New Roman" w:hAnsi="Times New Roman"/>
          <w:b/>
          <w:sz w:val="20"/>
          <w:szCs w:val="20"/>
          <w:u w:val="single"/>
        </w:rPr>
        <w:t>D</w:t>
      </w:r>
      <w:r>
        <w:rPr>
          <w:rFonts w:ascii="Times New Roman" w:hAnsi="Times New Roman"/>
          <w:b/>
          <w:sz w:val="20"/>
          <w:szCs w:val="20"/>
          <w:u w:val="single"/>
        </w:rPr>
        <w:t>etails on W2</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O</w:t>
      </w:r>
      <w:r>
        <w:rPr>
          <w:rFonts w:ascii="Times New Roman" w:hAnsi="Times New Roman"/>
          <w:sz w:val="20"/>
          <w:szCs w:val="20"/>
        </w:rPr>
        <w:t>ne particular point discussed in last RAN1 meeting is whether bitmap to indicate NZ coefficient locations can be absent in some occasions. Based on previous study, polarization-specific bitmap is needed per layer, which causes large feedback overhead. Hence it is beneficial to omit the report of bitmap when it does not cause ambiguity for NZ coefficient locations without the bitmaps.</w:t>
      </w:r>
    </w:p>
    <w:p>
      <w:pPr>
        <w:pStyle w:val="97"/>
        <w:numPr>
          <w:ilvl w:val="0"/>
          <w:numId w:val="15"/>
        </w:numPr>
        <w:snapToGrid w:val="0"/>
        <w:spacing w:before="180" w:beforeLines="50" w:after="180" w:afterLines="50" w:line="240" w:lineRule="auto"/>
        <w:ind w:leftChars="0"/>
        <w:jc w:val="both"/>
        <w:rPr>
          <w:rFonts w:ascii="Times New Roman" w:hAnsi="Times New Roman"/>
          <w:sz w:val="20"/>
          <w:szCs w:val="20"/>
        </w:rPr>
      </w:pPr>
      <w:r>
        <w:rPr>
          <w:rFonts w:hint="eastAsia" w:ascii="Times New Roman" w:hAnsi="Times New Roman"/>
          <w:sz w:val="20"/>
          <w:szCs w:val="20"/>
        </w:rPr>
        <w:t>H</w:t>
      </w:r>
      <w:r>
        <w:rPr>
          <w:rFonts w:ascii="Times New Roman" w:hAnsi="Times New Roman"/>
          <w:sz w:val="20"/>
          <w:szCs w:val="20"/>
        </w:rPr>
        <w:t>owever, due to the fact that UE can select and report a subset of NZ coefficients even when the configured beta value is 1, i.e., the real number of NZ coefficients can be smaller than the maximum of NZ coefficients configured by the gNB. The real total number of NZ coefficients is reported in CSI Part 1. Hence it is not sufficient to omit the bitmap just in the condition of having beta = 1, otherwise it restricts the flexibility of UE implementation. Further, it may not achieve the goal of reducing CSI overhead due to that more coefficients have to quantized and reported. It may have negative impact on performance as well as UE may have to quantize noise as NZ coefficients.</w:t>
      </w:r>
    </w:p>
    <w:p>
      <w:pPr>
        <w:pStyle w:val="97"/>
        <w:numPr>
          <w:ilvl w:val="0"/>
          <w:numId w:val="15"/>
        </w:numPr>
        <w:snapToGrid w:val="0"/>
        <w:spacing w:before="180" w:beforeLines="50" w:after="180" w:afterLines="50" w:line="240" w:lineRule="auto"/>
        <w:ind w:leftChars="0"/>
        <w:jc w:val="both"/>
        <w:rPr>
          <w:rFonts w:ascii="Times New Roman" w:hAnsi="Times New Roman"/>
          <w:sz w:val="20"/>
          <w:szCs w:val="20"/>
        </w:rPr>
      </w:pPr>
      <w:r>
        <w:rPr>
          <w:rFonts w:ascii="Times New Roman" w:hAnsi="Times New Roman"/>
          <w:sz w:val="20"/>
          <w:szCs w:val="20"/>
        </w:rPr>
        <w:t>Due to the above reason, the only condition to omit the reporting of bitmap is the real number of NZ coefficients equals to the maximum number of NZ coefficients when beta=1. Specifically, the condition should be the total number of NZ coefficients reported in Part 1 equals to Rank*K1*Mv and beta=1.</w:t>
      </w:r>
    </w:p>
    <w:p>
      <w:pPr>
        <w:snapToGrid w:val="0"/>
        <w:spacing w:before="180" w:beforeLines="50" w:after="180" w:afterLines="50" w:line="240" w:lineRule="auto"/>
        <w:jc w:val="both"/>
        <w:rPr>
          <w:rFonts w:ascii="Times New Roman" w:hAnsi="Times New Roman"/>
          <w:i/>
          <w:sz w:val="20"/>
          <w:szCs w:val="20"/>
        </w:rPr>
      </w:pPr>
      <w:r>
        <w:rPr>
          <w:rFonts w:hint="eastAsia" w:ascii="Times New Roman" w:hAnsi="Times New Roman"/>
          <w:b/>
          <w:i/>
          <w:sz w:val="20"/>
          <w:szCs w:val="20"/>
        </w:rPr>
        <w:t>P</w:t>
      </w:r>
      <w:r>
        <w:rPr>
          <w:rFonts w:ascii="Times New Roman" w:hAnsi="Times New Roman"/>
          <w:b/>
          <w:i/>
          <w:sz w:val="20"/>
          <w:szCs w:val="20"/>
        </w:rPr>
        <w:t xml:space="preserve">roposal </w:t>
      </w:r>
      <w:r>
        <w:rPr>
          <w:rFonts w:hint="eastAsia" w:ascii="Times New Roman" w:hAnsi="Times New Roman"/>
          <w:b/>
          <w:i/>
          <w:sz w:val="20"/>
          <w:szCs w:val="20"/>
        </w:rPr>
        <w:t>12</w:t>
      </w:r>
      <w:r>
        <w:rPr>
          <w:rFonts w:ascii="Times New Roman" w:hAnsi="Times New Roman"/>
          <w:b/>
          <w:i/>
          <w:sz w:val="20"/>
          <w:szCs w:val="20"/>
        </w:rPr>
        <w:t>:</w:t>
      </w:r>
      <w:r>
        <w:rPr>
          <w:rFonts w:ascii="Times New Roman" w:hAnsi="Times New Roman"/>
          <w:i/>
          <w:sz w:val="20"/>
          <w:szCs w:val="20"/>
        </w:rPr>
        <w:t xml:space="preserve"> </w:t>
      </w:r>
      <w:r>
        <w:rPr>
          <w:rFonts w:hint="eastAsia" w:ascii="Times New Roman" w:hAnsi="Times New Roman"/>
          <w:i/>
          <w:sz w:val="20"/>
          <w:szCs w:val="20"/>
        </w:rPr>
        <w:t>Support</w:t>
      </w:r>
      <w:r>
        <w:rPr>
          <w:rFonts w:ascii="Times New Roman" w:hAnsi="Times New Roman"/>
          <w:i/>
          <w:sz w:val="20"/>
          <w:szCs w:val="20"/>
        </w:rPr>
        <w:t xml:space="preserve"> UE reporting the total number of non-zero coefficients in CSI Part 1.</w:t>
      </w:r>
    </w:p>
    <w:p>
      <w:pPr>
        <w:pStyle w:val="97"/>
        <w:numPr>
          <w:ilvl w:val="0"/>
          <w:numId w:val="15"/>
        </w:numPr>
        <w:snapToGrid w:val="0"/>
        <w:spacing w:before="180" w:beforeLines="50" w:after="180" w:afterLines="50" w:line="240" w:lineRule="auto"/>
        <w:ind w:leftChars="0"/>
        <w:jc w:val="both"/>
        <w:rPr>
          <w:rFonts w:ascii="Times New Roman" w:hAnsi="Times New Roman"/>
          <w:i/>
          <w:sz w:val="20"/>
          <w:szCs w:val="20"/>
          <w:lang w:val="en-GB"/>
        </w:rPr>
      </w:pPr>
      <w:r>
        <w:rPr>
          <w:rFonts w:ascii="Times New Roman" w:hAnsi="Times New Roman"/>
          <w:i/>
          <w:sz w:val="20"/>
          <w:szCs w:val="20"/>
          <w:lang w:val="en-GB"/>
        </w:rPr>
        <w:t xml:space="preserve">The bitmap for indicating non-zero coefficients in W2 can be absent when Beta = 1 and the </w:t>
      </w:r>
      <w:r>
        <w:rPr>
          <w:rFonts w:ascii="Times New Roman" w:hAnsi="Times New Roman"/>
          <w:i/>
          <w:sz w:val="20"/>
          <w:szCs w:val="20"/>
        </w:rPr>
        <w:t>total number of NZ coefficients reported in Part 1</w:t>
      </w:r>
      <w:r>
        <w:rPr>
          <w:rFonts w:ascii="Times New Roman" w:hAnsi="Times New Roman"/>
          <w:i/>
          <w:sz w:val="20"/>
          <w:szCs w:val="20"/>
          <w:lang w:val="en-GB"/>
        </w:rPr>
        <w:t xml:space="preserve"> equals to Rank*K1*Mv.</w:t>
      </w:r>
    </w:p>
    <w:p>
      <w:pPr>
        <w:snapToGrid w:val="0"/>
        <w:spacing w:before="180" w:beforeLines="50" w:after="180" w:afterLines="50" w:line="240" w:lineRule="auto"/>
        <w:jc w:val="both"/>
        <w:rPr>
          <w:rFonts w:ascii="Times New Roman" w:hAnsi="Times New Roman"/>
          <w:b/>
          <w:sz w:val="20"/>
          <w:szCs w:val="20"/>
          <w:u w:val="single"/>
        </w:rPr>
      </w:pPr>
      <w:r>
        <w:rPr>
          <w:rFonts w:ascii="Times New Roman" w:hAnsi="Times New Roman"/>
          <w:b/>
          <w:sz w:val="20"/>
          <w:szCs w:val="20"/>
          <w:u w:val="single"/>
        </w:rPr>
        <w:t>Support of higher ranks</w:t>
      </w:r>
    </w:p>
    <w:p>
      <w:pPr>
        <w:snapToGrid w:val="0"/>
        <w:spacing w:before="180" w:beforeLines="50" w:after="180" w:afterLines="50" w:line="240" w:lineRule="auto"/>
        <w:ind w:right="220" w:rightChars="100"/>
        <w:jc w:val="both"/>
        <w:rPr>
          <w:rFonts w:ascii="Times New Roman" w:hAnsi="Times New Roman"/>
          <w:sz w:val="20"/>
          <w:szCs w:val="20"/>
        </w:rPr>
      </w:pPr>
      <w:r>
        <w:rPr>
          <w:rFonts w:hint="eastAsia" w:ascii="Times New Roman" w:hAnsi="Times New Roman"/>
          <w:sz w:val="20"/>
          <w:szCs w:val="20"/>
        </w:rPr>
        <w:t>W</w:t>
      </w:r>
      <w:r>
        <w:rPr>
          <w:rFonts w:ascii="Times New Roman" w:hAnsi="Times New Roman"/>
          <w:sz w:val="20"/>
          <w:szCs w:val="20"/>
        </w:rPr>
        <w:t>e have agreed to support rank 3 and 4 per Agreement #7.</w:t>
      </w:r>
      <w:r>
        <w:rPr>
          <w:rFonts w:hint="eastAsia" w:ascii="Times New Roman" w:hAnsi="Times New Roman"/>
          <w:sz w:val="20"/>
          <w:szCs w:val="20"/>
        </w:rPr>
        <w:t xml:space="preserve"> </w:t>
      </w:r>
      <w:r>
        <w:rPr>
          <w:rFonts w:ascii="Times New Roman" w:hAnsi="Times New Roman"/>
          <w:sz w:val="20"/>
          <w:szCs w:val="20"/>
        </w:rPr>
        <w:t xml:space="preserve">One important issue for rank 3 and 4 is to reduce the CSI overhead due to the large number of coefficients from more than two layers. </w:t>
      </w:r>
    </w:p>
    <w:p>
      <w:pPr>
        <w:snapToGrid w:val="0"/>
        <w:spacing w:before="180" w:beforeLines="50" w:after="180" w:afterLines="50" w:line="240" w:lineRule="auto"/>
        <w:ind w:right="220" w:rightChars="100"/>
        <w:jc w:val="both"/>
        <w:rPr>
          <w:rFonts w:ascii="Times New Roman" w:hAnsi="Times New Roman"/>
          <w:sz w:val="20"/>
          <w:szCs w:val="20"/>
        </w:rPr>
      </w:pPr>
      <w:r>
        <w:rPr>
          <w:rFonts w:ascii="Times New Roman" w:hAnsi="Times New Roman"/>
          <w:sz w:val="20"/>
          <w:szCs w:val="20"/>
        </w:rPr>
        <w:t xml:space="preserve">eType II codebooks have both upper bounds of per-layer number of NZ coefficients and total number of NZ coefficients, and the number of per-layer NZ coefficients for rank 3-4 is reduced to be a fraction of the value for rank 1-2. In Rel-16, it is controlled by using smaller Mv values for rank 3-4 compared with rank 1-2, i.e., </w:t>
      </w:r>
      <m:oMath>
        <m:sSub>
          <m:sSubPr>
            <m:ctrlPr>
              <w:rPr>
                <w:rFonts w:ascii="Cambria Math" w:hAnsi="Cambria Math"/>
                <w:sz w:val="20"/>
                <w:szCs w:val="20"/>
              </w:rPr>
            </m:ctrlPr>
          </m:sSubPr>
          <m:e>
            <m:r>
              <m:rPr>
                <m:sty m:val="p"/>
              </m:rPr>
              <w:rPr>
                <w:rFonts w:ascii="Cambria Math" w:hAnsi="Cambria Math"/>
                <w:sz w:val="20"/>
                <w:szCs w:val="20"/>
              </w:rPr>
              <m:t>p</m:t>
            </m:r>
            <m:ctrlPr>
              <w:rPr>
                <w:rFonts w:ascii="Cambria Math" w:hAnsi="Cambria Math"/>
                <w:sz w:val="20"/>
                <w:szCs w:val="20"/>
              </w:rPr>
            </m:ctrlPr>
          </m:e>
          <m:sub>
            <m:r>
              <m:rPr>
                <m:sty m:val="p"/>
              </m:rPr>
              <w:rPr>
                <w:rFonts w:ascii="Cambria Math" w:hAnsi="Cambria Math"/>
                <w:sz w:val="20"/>
                <w:szCs w:val="20"/>
              </w:rPr>
              <m:t>3,4</m:t>
            </m:r>
            <m:ctrlPr>
              <w:rPr>
                <w:rFonts w:ascii="Cambria Math" w:hAnsi="Cambria Math"/>
                <w:sz w:val="20"/>
                <w:szCs w:val="20"/>
              </w:rPr>
            </m:ctrlPr>
          </m:sub>
        </m:sSub>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ctrlPr>
              <w:rPr>
                <w:rFonts w:ascii="Cambria Math" w:hAnsi="Cambria Math"/>
                <w:i/>
                <w:sz w:val="20"/>
                <w:szCs w:val="20"/>
              </w:rPr>
            </m:ctrlPr>
          </m:num>
          <m:den>
            <m:r>
              <w:rPr>
                <w:rFonts w:ascii="Cambria Math" w:hAnsi="Cambria Math"/>
                <w:sz w:val="20"/>
                <w:szCs w:val="20"/>
              </w:rPr>
              <m:t>2</m:t>
            </m:r>
            <m:ctrlPr>
              <w:rPr>
                <w:rFonts w:ascii="Cambria Math" w:hAnsi="Cambria Math"/>
                <w:i/>
                <w:sz w:val="20"/>
                <w:szCs w:val="20"/>
              </w:rPr>
            </m:ctrlPr>
          </m:den>
        </m:f>
        <m:sSub>
          <m:sSubPr>
            <m:ctrlPr>
              <w:rPr>
                <w:rFonts w:ascii="Cambria Math" w:hAnsi="Cambria Math"/>
                <w:sz w:val="20"/>
                <w:szCs w:val="20"/>
              </w:rPr>
            </m:ctrlPr>
          </m:sSubPr>
          <m:e>
            <m:r>
              <m:rPr>
                <m:sty m:val="p"/>
              </m:rPr>
              <w:rPr>
                <w:rFonts w:ascii="Cambria Math" w:hAnsi="Cambria Math"/>
                <w:sz w:val="20"/>
                <w:szCs w:val="20"/>
              </w:rPr>
              <m:t>p</m:t>
            </m:r>
            <m:ctrlPr>
              <w:rPr>
                <w:rFonts w:ascii="Cambria Math" w:hAnsi="Cambria Math"/>
                <w:sz w:val="20"/>
                <w:szCs w:val="20"/>
              </w:rPr>
            </m:ctrlPr>
          </m:e>
          <m:sub>
            <m:r>
              <m:rPr>
                <m:sty m:val="p"/>
              </m:rPr>
              <w:rPr>
                <w:rFonts w:ascii="Cambria Math" w:hAnsi="Cambria Math"/>
                <w:sz w:val="20"/>
                <w:szCs w:val="20"/>
              </w:rPr>
              <m:t>1,2</m:t>
            </m:r>
            <m:ctrlPr>
              <w:rPr>
                <w:rFonts w:ascii="Cambria Math" w:hAnsi="Cambria Math"/>
                <w:sz w:val="20"/>
                <w:szCs w:val="20"/>
              </w:rPr>
            </m:ctrlPr>
          </m:sub>
        </m:sSub>
      </m:oMath>
      <w:r>
        <w:rPr>
          <w:rFonts w:hint="eastAsia" w:ascii="Times New Roman" w:hAnsi="Times New Roman"/>
          <w:sz w:val="20"/>
          <w:szCs w:val="20"/>
        </w:rPr>
        <w:t>.</w:t>
      </w:r>
      <w:r>
        <w:rPr>
          <w:rFonts w:ascii="Times New Roman" w:hAnsi="Times New Roman"/>
          <w:sz w:val="20"/>
          <w:szCs w:val="20"/>
        </w:rPr>
        <w:t xml:space="preserve"> In Rel-17, as the basic feature is just Mv=1</w:t>
      </w:r>
      <w:r>
        <w:rPr>
          <w:rFonts w:hint="eastAsia" w:ascii="Times New Roman" w:hAnsi="Times New Roman"/>
          <w:sz w:val="20"/>
          <w:szCs w:val="20"/>
        </w:rPr>
        <w:t>,</w:t>
      </w:r>
      <w:r>
        <w:rPr>
          <w:rFonts w:ascii="Times New Roman" w:hAnsi="Times New Roman"/>
          <w:sz w:val="20"/>
          <w:szCs w:val="20"/>
        </w:rPr>
        <w:t xml:space="preserve"> and Mv=2 is an optional feature, there is no room to further reduce Mv values for rank 3 and 4. A similar approach can be used to address this issue, i.e., to use a smaller beta value for Rank 3 and 4 compared with beta value configured for Rank 1 and 2, e.g., </w:t>
      </w:r>
      <m:oMath>
        <m:sSub>
          <m:sSubPr>
            <m:ctrlPr>
              <w:rPr>
                <w:rFonts w:ascii="Cambria Math" w:hAnsi="Cambria Math"/>
                <w:sz w:val="20"/>
                <w:szCs w:val="20"/>
              </w:rPr>
            </m:ctrlPr>
          </m:sSubPr>
          <m:e>
            <m:r>
              <m:rPr>
                <m:sty m:val="p"/>
              </m:rPr>
              <w:rPr>
                <w:rFonts w:ascii="Cambria Math" w:hAnsi="Cambria Math"/>
                <w:sz w:val="20"/>
                <w:szCs w:val="20"/>
              </w:rPr>
              <m:t>β</m:t>
            </m:r>
            <m:ctrlPr>
              <w:rPr>
                <w:rFonts w:ascii="Cambria Math" w:hAnsi="Cambria Math"/>
                <w:sz w:val="20"/>
                <w:szCs w:val="20"/>
              </w:rPr>
            </m:ctrlPr>
          </m:e>
          <m:sub>
            <m:r>
              <m:rPr>
                <m:sty m:val="p"/>
              </m:rPr>
              <w:rPr>
                <w:rFonts w:ascii="Cambria Math" w:hAnsi="Cambria Math"/>
                <w:sz w:val="20"/>
                <w:szCs w:val="20"/>
              </w:rPr>
              <m:t>3,4</m:t>
            </m:r>
            <m:ctrlPr>
              <w:rPr>
                <w:rFonts w:ascii="Cambria Math" w:hAnsi="Cambria Math"/>
                <w:sz w:val="20"/>
                <w:szCs w:val="20"/>
              </w:rPr>
            </m:ctrlPr>
          </m:sub>
        </m:sSub>
        <m:r>
          <m:rPr>
            <m:sty m:val="p"/>
          </m:rPr>
          <w:rPr>
            <w:rFonts w:ascii="Cambria Math" w:hAnsi="Cambria Math"/>
            <w:sz w:val="20"/>
            <w:szCs w:val="20"/>
          </w:rPr>
          <m:t>=</m:t>
        </m:r>
        <m:sSub>
          <m:sSubPr>
            <m:ctrlPr>
              <w:rPr>
                <w:rFonts w:ascii="Cambria Math" w:hAnsi="Cambria Math"/>
                <w:sz w:val="20"/>
                <w:szCs w:val="20"/>
              </w:rPr>
            </m:ctrlPr>
          </m:sSubPr>
          <m:e>
            <m:f>
              <m:fPr>
                <m:ctrlPr>
                  <w:rPr>
                    <w:rFonts w:ascii="Cambria Math" w:hAnsi="Cambria Math"/>
                    <w:sz w:val="20"/>
                    <w:szCs w:val="20"/>
                  </w:rPr>
                </m:ctrlPr>
              </m:fPr>
              <m:num>
                <m:r>
                  <m:rPr>
                    <m:sty m:val="p"/>
                  </m:rPr>
                  <w:rPr>
                    <w:rFonts w:ascii="Cambria Math" w:hAnsi="Cambria Math"/>
                    <w:sz w:val="20"/>
                    <w:szCs w:val="20"/>
                  </w:rPr>
                  <m:t>1</m:t>
                </m:r>
                <m:ctrlPr>
                  <w:rPr>
                    <w:rFonts w:ascii="Cambria Math" w:hAnsi="Cambria Math"/>
                    <w:sz w:val="20"/>
                    <w:szCs w:val="20"/>
                  </w:rPr>
                </m:ctrlPr>
              </m:num>
              <m:den>
                <m:r>
                  <m:rPr>
                    <m:sty m:val="p"/>
                  </m:rPr>
                  <w:rPr>
                    <w:rFonts w:ascii="Cambria Math" w:hAnsi="Cambria Math"/>
                    <w:sz w:val="20"/>
                    <w:szCs w:val="20"/>
                  </w:rPr>
                  <m:t>2</m:t>
                </m:r>
                <m:ctrlPr>
                  <w:rPr>
                    <w:rFonts w:ascii="Cambria Math" w:hAnsi="Cambria Math"/>
                    <w:sz w:val="20"/>
                    <w:szCs w:val="20"/>
                  </w:rPr>
                </m:ctrlPr>
              </m:den>
            </m:f>
            <m:r>
              <m:rPr>
                <m:sty m:val="p"/>
              </m:rPr>
              <w:rPr>
                <w:rFonts w:ascii="Cambria Math" w:hAnsi="Cambria Math"/>
                <w:sz w:val="20"/>
                <w:szCs w:val="20"/>
              </w:rPr>
              <m:t>β</m:t>
            </m:r>
            <m:ctrlPr>
              <w:rPr>
                <w:rFonts w:ascii="Cambria Math" w:hAnsi="Cambria Math"/>
                <w:sz w:val="20"/>
                <w:szCs w:val="20"/>
              </w:rPr>
            </m:ctrlPr>
          </m:e>
          <m:sub>
            <m:r>
              <m:rPr>
                <m:sty m:val="p"/>
              </m:rPr>
              <w:rPr>
                <w:rFonts w:ascii="Cambria Math" w:hAnsi="Cambria Math"/>
                <w:sz w:val="20"/>
                <w:szCs w:val="20"/>
              </w:rPr>
              <m:t>1,2</m:t>
            </m:r>
            <m:ctrlPr>
              <w:rPr>
                <w:rFonts w:ascii="Cambria Math" w:hAnsi="Cambria Math"/>
                <w:sz w:val="20"/>
                <w:szCs w:val="20"/>
              </w:rPr>
            </m:ctrlPr>
          </m:sub>
        </m:sSub>
      </m:oMath>
      <w:r>
        <w:rPr>
          <w:rFonts w:hint="eastAsia" w:ascii="Times New Roman" w:hAnsi="Times New Roman"/>
          <w:sz w:val="20"/>
          <w:szCs w:val="20"/>
        </w:rPr>
        <w:t>.</w:t>
      </w:r>
      <w:r>
        <w:rPr>
          <w:rFonts w:ascii="Times New Roman" w:hAnsi="Times New Roman"/>
          <w:sz w:val="20"/>
          <w:szCs w:val="20"/>
        </w:rPr>
        <w:t xml:space="preserve"> This can achieve similar overhead compared with using smaller Mv values. Similar performance can be achieved as well.</w:t>
      </w:r>
    </w:p>
    <w:p>
      <w:pPr>
        <w:snapToGrid w:val="0"/>
        <w:spacing w:before="180" w:beforeLines="50" w:after="180" w:afterLines="50" w:line="240" w:lineRule="auto"/>
        <w:ind w:right="220" w:rightChars="100"/>
        <w:jc w:val="both"/>
        <w:rPr>
          <w:rFonts w:ascii="Times New Roman" w:hAnsi="Times New Roman"/>
          <w:i/>
          <w:sz w:val="20"/>
          <w:szCs w:val="20"/>
        </w:rPr>
      </w:pPr>
      <w:r>
        <w:rPr>
          <w:rFonts w:ascii="Times New Roman" w:hAnsi="Times New Roman"/>
          <w:b/>
          <w:i/>
          <w:sz w:val="20"/>
          <w:szCs w:val="20"/>
        </w:rPr>
        <w:t xml:space="preserve">Proposal </w:t>
      </w:r>
      <w:r>
        <w:rPr>
          <w:rFonts w:hint="eastAsia" w:ascii="Times New Roman" w:hAnsi="Times New Roman"/>
          <w:b/>
          <w:i/>
          <w:sz w:val="20"/>
          <w:szCs w:val="20"/>
        </w:rPr>
        <w:t>13</w:t>
      </w:r>
      <w:r>
        <w:rPr>
          <w:rFonts w:ascii="Times New Roman" w:hAnsi="Times New Roman"/>
          <w:b/>
          <w:i/>
          <w:sz w:val="20"/>
          <w:szCs w:val="20"/>
        </w:rPr>
        <w:t xml:space="preserve">: </w:t>
      </w:r>
      <w:r>
        <w:rPr>
          <w:rFonts w:ascii="Times New Roman" w:hAnsi="Times New Roman"/>
          <w:i/>
          <w:sz w:val="20"/>
          <w:szCs w:val="20"/>
        </w:rPr>
        <w:t xml:space="preserve">On Rank 3 and 4 for Rel-17 PS codebook, use a smaller beta value for Rank 3 and 4 compared with beta value configured for Rank 1 and 2, e.g., </w:t>
      </w:r>
      <m:oMath>
        <m:sSub>
          <m:sSubPr>
            <m:ctrlPr>
              <w:rPr>
                <w:rFonts w:ascii="Cambria Math" w:hAnsi="Cambria Math"/>
                <w:i/>
                <w:sz w:val="20"/>
                <w:szCs w:val="20"/>
              </w:rPr>
            </m:ctrlPr>
          </m:sSubPr>
          <m:e>
            <m:r>
              <w:rPr>
                <w:rFonts w:ascii="Cambria Math" w:hAnsi="Cambria Math"/>
                <w:sz w:val="20"/>
                <w:szCs w:val="20"/>
              </w:rPr>
              <m:t>β</m:t>
            </m:r>
            <m:ctrlPr>
              <w:rPr>
                <w:rFonts w:ascii="Cambria Math" w:hAnsi="Cambria Math"/>
                <w:i/>
                <w:sz w:val="20"/>
                <w:szCs w:val="20"/>
              </w:rPr>
            </m:ctrlPr>
          </m:e>
          <m:sub>
            <m:r>
              <w:rPr>
                <w:rFonts w:ascii="Cambria Math" w:hAnsi="Cambria Math"/>
                <w:sz w:val="20"/>
                <w:szCs w:val="20"/>
              </w:rPr>
              <m:t>3,4</m:t>
            </m:r>
            <m:ctrlPr>
              <w:rPr>
                <w:rFonts w:ascii="Cambria Math" w:hAnsi="Cambria Math"/>
                <w:i/>
                <w:sz w:val="20"/>
                <w:szCs w:val="20"/>
              </w:rPr>
            </m:ctrlPr>
          </m:sub>
        </m:sSub>
        <m:r>
          <w:rPr>
            <w:rFonts w:ascii="Cambria Math" w:hAnsi="Cambria Math"/>
            <w:sz w:val="20"/>
            <w:szCs w:val="20"/>
          </w:rPr>
          <m:t>=</m:t>
        </m:r>
        <m:sSub>
          <m:sSubPr>
            <m:ctrlPr>
              <w:rPr>
                <w:rFonts w:ascii="Cambria Math" w:hAnsi="Cambria Math"/>
                <w:i/>
                <w:sz w:val="20"/>
                <w:szCs w:val="20"/>
              </w:rPr>
            </m:ctrlPr>
          </m:sSubPr>
          <m:e>
            <m:f>
              <m:fPr>
                <m:ctrlPr>
                  <w:rPr>
                    <w:rFonts w:ascii="Cambria Math" w:hAnsi="Cambria Math"/>
                    <w:i/>
                    <w:sz w:val="20"/>
                    <w:szCs w:val="20"/>
                  </w:rPr>
                </m:ctrlPr>
              </m:fPr>
              <m:num>
                <m:r>
                  <w:rPr>
                    <w:rFonts w:ascii="Cambria Math" w:hAnsi="Cambria Math"/>
                    <w:sz w:val="20"/>
                    <w:szCs w:val="20"/>
                  </w:rPr>
                  <m:t>1</m:t>
                </m:r>
                <m:ctrlPr>
                  <w:rPr>
                    <w:rFonts w:ascii="Cambria Math" w:hAnsi="Cambria Math"/>
                    <w:i/>
                    <w:sz w:val="20"/>
                    <w:szCs w:val="20"/>
                  </w:rPr>
                </m:ctrlPr>
              </m:num>
              <m:den>
                <m:r>
                  <w:rPr>
                    <w:rFonts w:ascii="Cambria Math" w:hAnsi="Cambria Math"/>
                    <w:sz w:val="20"/>
                    <w:szCs w:val="20"/>
                  </w:rPr>
                  <m:t>2</m:t>
                </m:r>
                <m:ctrlPr>
                  <w:rPr>
                    <w:rFonts w:ascii="Cambria Math" w:hAnsi="Cambria Math"/>
                    <w:i/>
                    <w:sz w:val="20"/>
                    <w:szCs w:val="20"/>
                  </w:rPr>
                </m:ctrlPr>
              </m:den>
            </m:f>
            <m:r>
              <w:rPr>
                <w:rFonts w:ascii="Cambria Math" w:hAnsi="Cambria Math"/>
                <w:sz w:val="20"/>
                <w:szCs w:val="20"/>
              </w:rPr>
              <m:t>β</m:t>
            </m:r>
            <m:ctrlPr>
              <w:rPr>
                <w:rFonts w:ascii="Cambria Math" w:hAnsi="Cambria Math"/>
                <w:i/>
                <w:sz w:val="20"/>
                <w:szCs w:val="20"/>
              </w:rPr>
            </m:ctrlPr>
          </m:e>
          <m:sub>
            <m:r>
              <w:rPr>
                <w:rFonts w:ascii="Cambria Math" w:hAnsi="Cambria Math"/>
                <w:sz w:val="20"/>
                <w:szCs w:val="20"/>
              </w:rPr>
              <m:t>1,2</m:t>
            </m:r>
            <m:ctrlPr>
              <w:rPr>
                <w:rFonts w:ascii="Cambria Math" w:hAnsi="Cambria Math"/>
                <w:i/>
                <w:sz w:val="20"/>
                <w:szCs w:val="20"/>
              </w:rPr>
            </m:ctrlPr>
          </m:sub>
        </m:sSub>
      </m:oMath>
      <w:r>
        <w:rPr>
          <w:rFonts w:hint="eastAsia" w:ascii="Times New Roman" w:hAnsi="Times New Roman"/>
          <w:i/>
          <w:sz w:val="20"/>
          <w:szCs w:val="20"/>
        </w:rPr>
        <w:t>.</w:t>
      </w:r>
    </w:p>
    <w:p>
      <w:pPr>
        <w:pStyle w:val="2"/>
        <w:snapToGrid w:val="0"/>
        <w:spacing w:before="180" w:beforeLines="50" w:after="180" w:afterLines="50"/>
        <w:ind w:left="431" w:hanging="431"/>
        <w:rPr>
          <w:sz w:val="28"/>
          <w:lang w:val="en-US"/>
        </w:rPr>
      </w:pPr>
      <w:r>
        <w:rPr>
          <w:sz w:val="28"/>
          <w:lang w:val="en-US"/>
        </w:rPr>
        <w:t>Conclusions</w:t>
      </w:r>
    </w:p>
    <w:p>
      <w:pPr>
        <w:adjustRightInd w:val="0"/>
        <w:snapToGrid w:val="0"/>
        <w:spacing w:before="180" w:beforeLines="50" w:after="180" w:afterLines="50" w:line="240" w:lineRule="auto"/>
        <w:jc w:val="both"/>
        <w:rPr>
          <w:rFonts w:ascii="Times New Roman" w:hAnsi="Times New Roman"/>
          <w:sz w:val="20"/>
          <w:szCs w:val="20"/>
        </w:rPr>
      </w:pPr>
      <w:bookmarkStart w:id="6" w:name="OLE_LINK11"/>
      <w:bookmarkStart w:id="7" w:name="OLE_LINK10"/>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 xml:space="preserve">our views to enhance CSI measurement and reporting for MTRP and </w:t>
      </w:r>
      <w:r>
        <w:rPr>
          <w:rFonts w:ascii="Times New Roman" w:hAnsi="Times New Roman"/>
          <w:sz w:val="20"/>
          <w:szCs w:val="20"/>
        </w:rPr>
        <w:t>FDD reciprocity.</w:t>
      </w:r>
    </w:p>
    <w:p>
      <w:pPr>
        <w:adjustRightInd w:val="0"/>
        <w:snapToGrid w:val="0"/>
        <w:spacing w:before="180" w:beforeLines="50" w:after="180" w:afterLines="50" w:line="240" w:lineRule="auto"/>
        <w:jc w:val="both"/>
        <w:rPr>
          <w:rFonts w:ascii="Times New Roman" w:hAnsi="Times New Roman"/>
          <w:b/>
          <w:bCs/>
          <w:sz w:val="20"/>
          <w:szCs w:val="20"/>
          <w:u w:val="single"/>
        </w:rPr>
      </w:pPr>
      <w:r>
        <w:rPr>
          <w:rFonts w:hint="eastAsia" w:ascii="Times New Roman" w:hAnsi="Times New Roman"/>
          <w:b/>
          <w:bCs/>
          <w:sz w:val="20"/>
          <w:szCs w:val="20"/>
          <w:u w:val="single"/>
        </w:rPr>
        <w:t xml:space="preserve">For MTRP CSI enhancement: </w:t>
      </w:r>
    </w:p>
    <w:p>
      <w:pPr>
        <w:adjustRightInd w:val="0"/>
        <w:snapToGrid w:val="0"/>
        <w:spacing w:before="180" w:beforeLines="50" w:after="180" w:afterLines="50" w:line="240" w:lineRule="auto"/>
        <w:jc w:val="both"/>
        <w:rPr>
          <w:rFonts w:ascii="Times" w:hAnsi="Times" w:eastAsia="宋体" w:cs="Times"/>
          <w:i/>
          <w:iCs/>
          <w:kern w:val="2"/>
          <w:sz w:val="20"/>
          <w:szCs w:val="20"/>
        </w:rPr>
      </w:pPr>
      <w:r>
        <w:rPr>
          <w:rFonts w:hint="eastAsia" w:ascii="Times" w:hAnsi="Times" w:eastAsia="宋体" w:cs="Times"/>
          <w:b/>
          <w:bCs/>
          <w:i/>
          <w:iCs/>
          <w:kern w:val="2"/>
          <w:sz w:val="20"/>
          <w:szCs w:val="20"/>
        </w:rPr>
        <w:t>Proposal 1:</w:t>
      </w:r>
      <w:r>
        <w:rPr>
          <w:rFonts w:hint="eastAsia" w:ascii="Times" w:hAnsi="Times" w:eastAsia="宋体" w:cs="Times"/>
          <w:i/>
          <w:iCs/>
          <w:kern w:val="2"/>
          <w:sz w:val="20"/>
          <w:szCs w:val="20"/>
        </w:rPr>
        <w:t xml:space="preserve"> Do </w:t>
      </w:r>
      <w:r>
        <w:rPr>
          <w:rFonts w:ascii="Times" w:hAnsi="Times" w:eastAsia="宋体" w:cs="Times"/>
          <w:i/>
          <w:iCs/>
          <w:kern w:val="2"/>
          <w:sz w:val="20"/>
          <w:szCs w:val="20"/>
        </w:rPr>
        <w:t>NOT</w:t>
      </w:r>
      <w:r>
        <w:rPr>
          <w:rFonts w:hint="eastAsia" w:ascii="Times" w:hAnsi="Times" w:eastAsia="宋体" w:cs="Times"/>
          <w:i/>
          <w:iCs/>
          <w:kern w:val="2"/>
          <w:sz w:val="20"/>
          <w:szCs w:val="20"/>
        </w:rPr>
        <w:t xml:space="preserve"> support any time domain restriction of CMRs for NCJT CSI measurement hypothesis</w:t>
      </w:r>
      <w:r>
        <w:rPr>
          <w:rFonts w:ascii="Times" w:hAnsi="Times" w:eastAsia="宋体" w:cs="Times"/>
          <w:i/>
          <w:iCs/>
          <w:kern w:val="2"/>
          <w:sz w:val="20"/>
          <w:szCs w:val="20"/>
        </w:rPr>
        <w:t xml:space="preserve"> from RAN1 specification perspective</w:t>
      </w:r>
      <w:r>
        <w:rPr>
          <w:rFonts w:hint="eastAsia" w:ascii="Times" w:hAnsi="Times" w:eastAsia="宋体" w:cs="Times"/>
          <w:i/>
          <w:iCs/>
          <w:kern w:val="2"/>
          <w:sz w:val="20"/>
          <w:szCs w:val="20"/>
        </w:rPr>
        <w:t>.</w:t>
      </w:r>
    </w:p>
    <w:p>
      <w:pPr>
        <w:adjustRightInd w:val="0"/>
        <w:snapToGrid w:val="0"/>
        <w:spacing w:after="0" w:line="240" w:lineRule="exact"/>
        <w:jc w:val="both"/>
        <w:rPr>
          <w:rFonts w:ascii="Times New Roman" w:hAnsi="Times New Roman" w:eastAsia="Batang"/>
          <w:i/>
          <w:iCs/>
          <w:sz w:val="20"/>
          <w:szCs w:val="20"/>
          <w:lang w:val="en-GB" w:eastAsia="en-US"/>
        </w:rPr>
      </w:pPr>
      <w:r>
        <w:rPr>
          <w:rFonts w:hint="eastAsia" w:ascii="Times New Roman" w:hAnsi="Times New Roman" w:eastAsia="宋体"/>
          <w:b/>
          <w:bCs/>
          <w:i/>
          <w:iCs/>
          <w:color w:val="000000"/>
          <w:kern w:val="2"/>
          <w:sz w:val="20"/>
          <w:szCs w:val="20"/>
        </w:rPr>
        <w:t>Proposal 2:</w:t>
      </w:r>
      <w:r>
        <w:rPr>
          <w:rFonts w:hint="eastAsia" w:ascii="Times New Roman" w:hAnsi="Times New Roman" w:eastAsia="宋体"/>
          <w:i/>
          <w:iCs/>
          <w:color w:val="000000"/>
          <w:kern w:val="2"/>
          <w:sz w:val="20"/>
          <w:szCs w:val="20"/>
        </w:rPr>
        <w:t xml:space="preserve"> </w:t>
      </w:r>
      <w:r>
        <w:rPr>
          <w:rFonts w:ascii="Times New Roman" w:hAnsi="Times New Roman" w:eastAsia="Batang"/>
          <w:i/>
          <w:iCs/>
          <w:sz w:val="20"/>
          <w:szCs w:val="20"/>
          <w:lang w:val="en-GB" w:eastAsia="en-US"/>
        </w:rPr>
        <w:t>For a CMR pair configured for a NCJT measurement hypothesis,</w:t>
      </w:r>
      <w:r>
        <w:rPr>
          <w:rFonts w:hint="eastAsia" w:ascii="Times New Roman" w:hAnsi="Times New Roman" w:eastAsia="宋体"/>
          <w:i/>
          <w:iCs/>
          <w:sz w:val="20"/>
          <w:szCs w:val="20"/>
        </w:rPr>
        <w:t xml:space="preserve"> support Alt 2, </w:t>
      </w:r>
      <w:r>
        <w:rPr>
          <w:rFonts w:hint="eastAsia" w:ascii="Times New Roman" w:hAnsi="Times New Roman" w:eastAsia="宋体"/>
          <w:i/>
          <w:iCs/>
          <w:sz w:val="20"/>
          <w:szCs w:val="20"/>
          <w:lang w:val="en-GB" w:eastAsia="en-US"/>
        </w:rPr>
        <w:t>re-interpret two Pc ratios configured for the CMR pair for the NCJT measurement hypothesis</w:t>
      </w:r>
      <w:r>
        <w:rPr>
          <w:rFonts w:hint="eastAsia" w:ascii="Times New Roman" w:hAnsi="Times New Roman" w:eastAsia="宋体"/>
          <w:i/>
          <w:sz w:val="20"/>
          <w:szCs w:val="20"/>
        </w:rPr>
        <w:t xml:space="preserve"> </w:t>
      </w:r>
    </w:p>
    <w:p>
      <w:pPr>
        <w:numPr>
          <w:ilvl w:val="0"/>
          <w:numId w:val="5"/>
        </w:numPr>
        <w:adjustRightInd w:val="0"/>
        <w:snapToGrid w:val="0"/>
        <w:spacing w:after="0" w:line="240" w:lineRule="exact"/>
        <w:jc w:val="both"/>
        <w:rPr>
          <w:rFonts w:ascii="Times" w:hAnsi="Times" w:eastAsia="宋体" w:cs="Times"/>
          <w:i/>
          <w:iCs/>
          <w:kern w:val="2"/>
          <w:sz w:val="20"/>
          <w:szCs w:val="20"/>
        </w:rPr>
      </w:pPr>
      <w:r>
        <w:rPr>
          <w:rFonts w:hint="eastAsia" w:ascii="Times New Roman" w:hAnsi="Times New Roman" w:eastAsia="宋体"/>
          <w:i/>
          <w:iCs/>
          <w:sz w:val="20"/>
          <w:szCs w:val="20"/>
        </w:rPr>
        <w:t>A</w:t>
      </w:r>
      <w:r>
        <w:rPr>
          <w:rFonts w:hint="eastAsia" w:ascii="Times New Roman" w:hAnsi="Times New Roman" w:eastAsia="宋体"/>
          <w:i/>
          <w:sz w:val="20"/>
          <w:szCs w:val="20"/>
          <w:lang w:bidi="ar"/>
        </w:rPr>
        <w:t xml:space="preserve">ntenna ports </w:t>
      </w:r>
      <w:r>
        <w:rPr>
          <w:rFonts w:ascii="Times New Roman" w:hAnsi="Times New Roman" w:eastAsia="宋体"/>
          <w:i/>
          <w:sz w:val="20"/>
          <w:szCs w:val="20"/>
          <w:lang w:bidi="ar"/>
        </w:rPr>
        <w:t>[3000,…, 3000+P-1]</w:t>
      </w:r>
      <w:r>
        <w:rPr>
          <w:rFonts w:hint="eastAsia" w:ascii="Times New Roman" w:hAnsi="Times New Roman" w:eastAsia="宋体"/>
          <w:i/>
          <w:sz w:val="20"/>
          <w:szCs w:val="20"/>
          <w:lang w:bidi="ar"/>
        </w:rPr>
        <w:t xml:space="preserve">, </w:t>
      </w:r>
      <w:r>
        <w:rPr>
          <w:rFonts w:ascii="Times New Roman" w:hAnsi="Times New Roman" w:eastAsia="宋体"/>
          <w:i/>
          <w:sz w:val="20"/>
          <w:szCs w:val="20"/>
          <w:lang w:bidi="ar"/>
        </w:rPr>
        <w:t>set [1000,…, 1000+ν-1] for ν layers</w:t>
      </w:r>
      <w:r>
        <w:rPr>
          <w:rFonts w:hint="eastAsia" w:ascii="Times New Roman" w:hAnsi="Times New Roman" w:eastAsia="宋体"/>
          <w:i/>
          <w:sz w:val="20"/>
          <w:szCs w:val="20"/>
          <w:lang w:bidi="ar"/>
        </w:rPr>
        <w:t xml:space="preserve">, Pc ratio are associated with each resource of </w:t>
      </w:r>
      <w:r>
        <w:rPr>
          <w:rFonts w:ascii="Times New Roman" w:hAnsi="Times New Roman" w:eastAsia="宋体"/>
          <w:i/>
          <w:sz w:val="20"/>
          <w:szCs w:val="20"/>
          <w:lang w:bidi="ar"/>
        </w:rPr>
        <w:t xml:space="preserve">the </w:t>
      </w:r>
      <w:r>
        <w:rPr>
          <w:rFonts w:hint="eastAsia" w:ascii="Times New Roman" w:hAnsi="Times New Roman" w:eastAsia="宋体"/>
          <w:i/>
          <w:sz w:val="20"/>
          <w:szCs w:val="20"/>
          <w:lang w:bidi="ar"/>
        </w:rPr>
        <w:t>CMR pair</w:t>
      </w:r>
      <w:r>
        <w:rPr>
          <w:rFonts w:ascii="Times New Roman" w:hAnsi="Times New Roman" w:eastAsia="宋体"/>
          <w:i/>
          <w:sz w:val="20"/>
          <w:szCs w:val="20"/>
          <w:lang w:bidi="ar"/>
        </w:rPr>
        <w:t xml:space="preserve">. </w:t>
      </w:r>
    </w:p>
    <w:p>
      <w:pPr>
        <w:numPr>
          <w:ilvl w:val="0"/>
          <w:numId w:val="5"/>
        </w:numPr>
        <w:adjustRightInd w:val="0"/>
        <w:snapToGrid w:val="0"/>
        <w:spacing w:after="0" w:line="240" w:lineRule="exact"/>
        <w:jc w:val="both"/>
        <w:rPr>
          <w:rFonts w:ascii="Times" w:hAnsi="Times" w:eastAsia="宋体" w:cs="Times"/>
          <w:i/>
          <w:iCs/>
          <w:kern w:val="2"/>
          <w:sz w:val="20"/>
          <w:szCs w:val="20"/>
        </w:rPr>
      </w:pPr>
      <w:r>
        <w:rPr>
          <w:rFonts w:ascii="Times New Roman" w:hAnsi="Times New Roman" w:eastAsia="宋体"/>
          <w:i/>
          <w:sz w:val="20"/>
          <w:szCs w:val="20"/>
          <w:lang w:bidi="ar"/>
        </w:rPr>
        <w:t xml:space="preserve">For CQI derivation assumption, the associated PDSCH layers transmitted on </w:t>
      </w:r>
      <w:r>
        <w:rPr>
          <w:rFonts w:hint="eastAsia" w:ascii="Times New Roman" w:hAnsi="Times New Roman" w:eastAsia="宋体"/>
          <w:i/>
          <w:sz w:val="20"/>
          <w:szCs w:val="20"/>
          <w:lang w:bidi="ar"/>
        </w:rPr>
        <w:t>antenna ports</w:t>
      </w:r>
      <w:r>
        <w:rPr>
          <w:rFonts w:ascii="Times New Roman" w:hAnsi="Times New Roman" w:eastAsia="宋体"/>
          <w:i/>
          <w:sz w:val="20"/>
          <w:szCs w:val="20"/>
          <w:lang w:bidi="ar"/>
        </w:rPr>
        <w:t xml:space="preserve"> [3000,…,3000 + P - 1] of</w:t>
      </w:r>
      <w:r>
        <w:rPr>
          <w:rFonts w:hint="eastAsia" w:ascii="Times New Roman" w:hAnsi="Times New Roman" w:eastAsia="宋体"/>
          <w:i/>
          <w:sz w:val="20"/>
          <w:szCs w:val="20"/>
          <w:lang w:bidi="ar"/>
        </w:rPr>
        <w:t xml:space="preserve"> the corresponding CSI-RS resource</w:t>
      </w:r>
      <w:r>
        <w:rPr>
          <w:rFonts w:ascii="Times New Roman" w:hAnsi="Times New Roman" w:eastAsia="宋体"/>
          <w:i/>
          <w:sz w:val="20"/>
          <w:szCs w:val="20"/>
          <w:lang w:bidi="ar"/>
        </w:rPr>
        <w:t xml:space="preserve"> in the selected CSI-RS resource pair would have a ratio of EPRE to CSI-RS EPRE equal to the ratio given in Clause 5.2.2.3.1.</w:t>
      </w:r>
    </w:p>
    <w:p>
      <w:pPr>
        <w:snapToGrid w:val="0"/>
        <w:spacing w:before="180" w:beforeLines="50" w:after="0" w:line="240" w:lineRule="exact"/>
        <w:jc w:val="both"/>
        <w:rPr>
          <w:rFonts w:ascii="Times New Roman" w:hAnsi="Times New Roman" w:eastAsia="Batang"/>
          <w:i/>
          <w:iCs/>
          <w:sz w:val="20"/>
          <w:szCs w:val="20"/>
        </w:rPr>
      </w:pPr>
      <w:r>
        <w:rPr>
          <w:rFonts w:ascii="Times New Roman" w:hAnsi="Times New Roman" w:eastAsia="Batang"/>
          <w:b/>
          <w:bCs/>
          <w:i/>
          <w:iCs/>
          <w:sz w:val="20"/>
          <w:szCs w:val="20"/>
        </w:rPr>
        <w:t>Proposal</w:t>
      </w:r>
      <w:r>
        <w:rPr>
          <w:rFonts w:hint="eastAsia" w:ascii="Times New Roman" w:hAnsi="Times New Roman" w:eastAsia="Batang"/>
          <w:b/>
          <w:bCs/>
          <w:i/>
          <w:iCs/>
          <w:sz w:val="20"/>
          <w:szCs w:val="20"/>
        </w:rPr>
        <w:t xml:space="preserve"> 3:</w:t>
      </w:r>
      <w:r>
        <w:rPr>
          <w:rFonts w:hint="eastAsia" w:ascii="Times New Roman" w:hAnsi="Times New Roman" w:eastAsia="Batang"/>
          <w:i/>
          <w:iCs/>
          <w:sz w:val="20"/>
          <w:szCs w:val="20"/>
        </w:rPr>
        <w:t xml:space="preserve"> </w:t>
      </w:r>
      <w:r>
        <w:rPr>
          <w:rFonts w:ascii="Times New Roman" w:hAnsi="Times New Roman" w:eastAsia="Batang"/>
          <w:i/>
          <w:iCs/>
          <w:sz w:val="20"/>
          <w:szCs w:val="20"/>
          <w:lang w:val="en-GB" w:eastAsia="en-US"/>
        </w:rPr>
        <w:t>For CSI computation delay requirement associated with a CSI-ReportingConfig for a NCJT measurement hypothesis</w:t>
      </w:r>
      <w:r>
        <w:rPr>
          <w:rFonts w:hint="eastAsia" w:ascii="Times New Roman" w:hAnsi="Times New Roman" w:eastAsia="Batang"/>
          <w:i/>
          <w:iCs/>
          <w:sz w:val="20"/>
          <w:szCs w:val="20"/>
        </w:rPr>
        <w:t>, support Alt 2</w:t>
      </w:r>
    </w:p>
    <w:p>
      <w:pPr>
        <w:numPr>
          <w:ilvl w:val="0"/>
          <w:numId w:val="7"/>
        </w:numPr>
        <w:snapToGrid w:val="0"/>
        <w:spacing w:after="0" w:line="240" w:lineRule="exact"/>
        <w:jc w:val="both"/>
        <w:rPr>
          <w:rFonts w:ascii="Times New Roman" w:hAnsi="Times New Roman"/>
          <w:sz w:val="20"/>
          <w:szCs w:val="20"/>
        </w:rPr>
      </w:pPr>
      <w:r>
        <w:rPr>
          <w:rFonts w:ascii="Times New Roman" w:hAnsi="Times New Roman" w:eastAsia="Batang"/>
          <w:i/>
          <w:iCs/>
          <w:sz w:val="20"/>
          <w:szCs w:val="20"/>
          <w:lang w:val="en-GB" w:eastAsia="en-US"/>
        </w:rPr>
        <w:t>No changes of values on Z and Z’</w:t>
      </w:r>
    </w:p>
    <w:p>
      <w:pPr>
        <w:numPr>
          <w:ilvl w:val="0"/>
          <w:numId w:val="7"/>
        </w:numPr>
        <w:snapToGrid w:val="0"/>
        <w:spacing w:after="0" w:line="240" w:lineRule="auto"/>
        <w:jc w:val="both"/>
        <w:rPr>
          <w:rFonts w:ascii="Times New Roman" w:hAnsi="Times New Roman"/>
          <w:sz w:val="20"/>
          <w:szCs w:val="20"/>
        </w:rPr>
      </w:pP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Z</m:t>
            </m:r>
            <m:ctrlPr>
              <w:rPr>
                <w:rFonts w:ascii="Cambria Math" w:hAnsi="Cambria Math"/>
                <w:i/>
                <w:sz w:val="20"/>
                <w:szCs w:val="20"/>
              </w:rPr>
            </m:ctrlPr>
          </m:e>
          <m:sub>
            <m:r>
              <w:rPr>
                <w:rFonts w:ascii="Cambria Math" w:hAnsi="Cambria Math"/>
                <w:sz w:val="20"/>
                <w:szCs w:val="20"/>
              </w:rPr>
              <m:t>2</m:t>
            </m:r>
            <m:ctrlPr>
              <w:rPr>
                <w:rFonts w:ascii="Cambria Math" w:hAnsi="Cambria Math"/>
                <w:i/>
                <w:sz w:val="20"/>
                <w:szCs w:val="20"/>
              </w:rPr>
            </m:ctrlP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ctrlPr>
              <w:rPr>
                <w:rFonts w:ascii="Cambria Math" w:hAnsi="Cambria Math"/>
                <w:i/>
                <w:sz w:val="20"/>
                <w:szCs w:val="20"/>
              </w:rPr>
            </m:ctrlPr>
          </m:e>
          <m:sub>
            <m:r>
              <w:rPr>
                <w:rFonts w:ascii="Cambria Math" w:hAnsi="Cambria Math"/>
                <w:sz w:val="20"/>
                <w:szCs w:val="20"/>
              </w:rPr>
              <m:t>2</m:t>
            </m:r>
            <m:ctrlPr>
              <w:rPr>
                <w:rFonts w:ascii="Cambria Math" w:hAnsi="Cambria Math"/>
                <w:i/>
                <w:sz w:val="20"/>
                <w:szCs w:val="20"/>
              </w:rPr>
            </m:ctrlPr>
          </m:sub>
          <m:sup>
            <m:r>
              <w:rPr>
                <w:rFonts w:ascii="Cambria Math" w:hAnsi="Cambria Math"/>
                <w:sz w:val="20"/>
                <w:szCs w:val="20"/>
              </w:rPr>
              <m:t>'</m:t>
            </m:r>
            <m:ctrlPr>
              <w:rPr>
                <w:rFonts w:ascii="Cambria Math" w:hAnsi="Cambria Math"/>
                <w:i/>
                <w:sz w:val="20"/>
                <w:szCs w:val="20"/>
              </w:rPr>
            </m:ctrlPr>
          </m:sup>
        </m:sSubSup>
        <m:r>
          <w:rPr>
            <w:rFonts w:ascii="Cambria Math" w:hAnsi="Cambria Math"/>
            <w:sz w:val="20"/>
            <w:szCs w:val="20"/>
          </w:rPr>
          <m:t>)</m:t>
        </m:r>
      </m:oMath>
      <w:r>
        <w:rPr>
          <w:rFonts w:ascii="Times New Roman" w:hAnsi="Times New Roman"/>
          <w:sz w:val="20"/>
          <w:szCs w:val="20"/>
        </w:rPr>
        <w:t xml:space="preserve"> of table 5.4-2 </w:t>
      </w:r>
      <w:r>
        <w:rPr>
          <w:rFonts w:hint="eastAsia" w:ascii="Times New Roman" w:hAnsi="Times New Roman"/>
          <w:sz w:val="20"/>
          <w:szCs w:val="20"/>
        </w:rPr>
        <w:t>in 38.214 is used</w:t>
      </w:r>
    </w:p>
    <w:p>
      <w:pPr>
        <w:snapToGrid w:val="0"/>
        <w:spacing w:before="180" w:beforeLines="50" w:after="180" w:afterLines="50" w:line="240" w:lineRule="exact"/>
        <w:rPr>
          <w:rStyle w:val="31"/>
          <w:rFonts w:ascii="Times New Roman" w:hAnsi="Times New Roman"/>
          <w:b w:val="0"/>
          <w:i/>
          <w:iCs/>
          <w:sz w:val="20"/>
          <w:szCs w:val="20"/>
        </w:rPr>
      </w:pPr>
      <w:r>
        <w:rPr>
          <w:rStyle w:val="31"/>
          <w:rFonts w:hint="eastAsia" w:ascii="Times New Roman" w:hAnsi="Times New Roman"/>
          <w:bCs/>
          <w:i/>
          <w:iCs/>
          <w:sz w:val="20"/>
          <w:szCs w:val="20"/>
        </w:rPr>
        <w:t>Proposal 4:</w:t>
      </w:r>
      <w:r>
        <w:rPr>
          <w:rStyle w:val="31"/>
          <w:rFonts w:hint="eastAsia" w:ascii="Times New Roman" w:hAnsi="Times New Roman"/>
          <w:b w:val="0"/>
          <w:i/>
          <w:iCs/>
          <w:sz w:val="20"/>
          <w:szCs w:val="20"/>
        </w:rPr>
        <w:t xml:space="preserve"> The existing </w:t>
      </w:r>
      <w:r>
        <w:rPr>
          <w:rStyle w:val="31"/>
          <w:rFonts w:ascii="Times New Roman" w:hAnsi="Times New Roman"/>
          <w:b w:val="0"/>
          <w:i/>
          <w:iCs/>
          <w:sz w:val="20"/>
          <w:szCs w:val="20"/>
        </w:rPr>
        <w:t xml:space="preserve">RI restriction is only applied for Single-TRP measurement hypotheses and no RI restriction is applied for </w:t>
      </w:r>
      <w:r>
        <w:rPr>
          <w:rStyle w:val="31"/>
          <w:rFonts w:hint="eastAsia" w:ascii="Times New Roman" w:hAnsi="Times New Roman"/>
          <w:b w:val="0"/>
          <w:i/>
          <w:iCs/>
          <w:sz w:val="20"/>
          <w:szCs w:val="20"/>
        </w:rPr>
        <w:t>NCJT</w:t>
      </w:r>
      <w:r>
        <w:rPr>
          <w:rStyle w:val="31"/>
          <w:rFonts w:ascii="Times New Roman" w:hAnsi="Times New Roman"/>
          <w:b w:val="0"/>
          <w:i/>
          <w:iCs/>
          <w:sz w:val="20"/>
          <w:szCs w:val="20"/>
        </w:rPr>
        <w:t xml:space="preserve"> measurement hypotheses</w:t>
      </w:r>
      <w:r>
        <w:rPr>
          <w:rStyle w:val="31"/>
          <w:rFonts w:hint="eastAsia" w:ascii="Times New Roman" w:hAnsi="Times New Roman"/>
          <w:b w:val="0"/>
          <w:i/>
          <w:iCs/>
          <w:sz w:val="20"/>
          <w:szCs w:val="20"/>
        </w:rPr>
        <w:t xml:space="preserve"> in Rel-17.</w:t>
      </w:r>
    </w:p>
    <w:p>
      <w:pPr>
        <w:adjustRightInd w:val="0"/>
        <w:snapToGrid w:val="0"/>
        <w:spacing w:before="180" w:beforeLines="50" w:after="180" w:afterLines="50" w:line="240" w:lineRule="auto"/>
        <w:jc w:val="both"/>
        <w:rPr>
          <w:rFonts w:ascii="Times New Roman" w:hAnsi="Times New Roman" w:eastAsia="Times New Roman"/>
          <w:bCs/>
          <w:i/>
          <w:iCs/>
          <w:color w:val="000000"/>
          <w:kern w:val="2"/>
          <w:sz w:val="20"/>
          <w:szCs w:val="20"/>
        </w:rPr>
      </w:pPr>
      <w:r>
        <w:rPr>
          <w:rFonts w:hint="eastAsia" w:ascii="Times New Roman" w:hAnsi="Times New Roman" w:eastAsia="Times New Roman"/>
          <w:b/>
          <w:i/>
          <w:iCs/>
          <w:color w:val="000000"/>
          <w:kern w:val="2"/>
          <w:sz w:val="20"/>
          <w:szCs w:val="20"/>
        </w:rPr>
        <w:t xml:space="preserve">Proposal </w:t>
      </w:r>
      <w:r>
        <w:rPr>
          <w:rFonts w:hint="eastAsia" w:ascii="Times New Roman" w:hAnsi="Times New Roman" w:eastAsia="宋体"/>
          <w:b/>
          <w:i/>
          <w:iCs/>
          <w:color w:val="000000"/>
          <w:kern w:val="2"/>
          <w:sz w:val="20"/>
          <w:szCs w:val="20"/>
        </w:rPr>
        <w:t>5</w:t>
      </w:r>
      <w:r>
        <w:rPr>
          <w:rFonts w:hint="eastAsia" w:ascii="Times New Roman" w:hAnsi="Times New Roman" w:eastAsia="Times New Roman"/>
          <w:b/>
          <w:i/>
          <w:iCs/>
          <w:color w:val="000000"/>
          <w:kern w:val="2"/>
          <w:sz w:val="20"/>
          <w:szCs w:val="20"/>
        </w:rPr>
        <w:t xml:space="preserve">: </w:t>
      </w:r>
      <w:r>
        <w:rPr>
          <w:rFonts w:ascii="Times New Roman" w:hAnsi="Times New Roman" w:eastAsia="Times New Roman"/>
          <w:bCs/>
          <w:i/>
          <w:iCs/>
          <w:color w:val="000000"/>
          <w:kern w:val="2"/>
          <w:sz w:val="20"/>
          <w:szCs w:val="20"/>
        </w:rPr>
        <w:t xml:space="preserve">The X+1 CSI hypotheses per CSI Reporting Setting for NCJT and STRP </w:t>
      </w:r>
      <w:r>
        <w:rPr>
          <w:rFonts w:hint="eastAsia" w:ascii="Times New Roman" w:hAnsi="Times New Roman" w:eastAsia="Times New Roman"/>
          <w:bCs/>
          <w:i/>
          <w:iCs/>
          <w:color w:val="000000"/>
          <w:kern w:val="2"/>
          <w:sz w:val="20"/>
          <w:szCs w:val="20"/>
        </w:rPr>
        <w:t>are</w:t>
      </w:r>
      <w:r>
        <w:rPr>
          <w:rFonts w:ascii="Times New Roman" w:hAnsi="Times New Roman" w:eastAsia="Times New Roman"/>
          <w:bCs/>
          <w:i/>
          <w:iCs/>
          <w:color w:val="000000"/>
          <w:kern w:val="2"/>
          <w:sz w:val="20"/>
          <w:szCs w:val="20"/>
        </w:rPr>
        <w:t xml:space="preserve"> mapped to a single CSI report</w:t>
      </w:r>
      <w:r>
        <w:rPr>
          <w:rFonts w:hint="eastAsia" w:ascii="Times New Roman" w:hAnsi="Times New Roman" w:eastAsia="Times New Roman"/>
          <w:bCs/>
          <w:i/>
          <w:iCs/>
          <w:color w:val="000000"/>
          <w:kern w:val="2"/>
          <w:sz w:val="20"/>
          <w:szCs w:val="20"/>
        </w:rPr>
        <w:t>.</w:t>
      </w:r>
    </w:p>
    <w:p>
      <w:pPr>
        <w:snapToGrid w:val="0"/>
        <w:spacing w:before="180" w:beforeLines="50" w:after="180" w:afterLines="50" w:line="240" w:lineRule="auto"/>
        <w:jc w:val="both"/>
        <w:rPr>
          <w:rFonts w:ascii="Times New Roman" w:hAnsi="Times New Roman"/>
          <w:bCs/>
          <w:i/>
          <w:sz w:val="20"/>
          <w:szCs w:val="20"/>
        </w:rPr>
      </w:pPr>
      <w:r>
        <w:rPr>
          <w:rFonts w:hint="eastAsia" w:ascii="Times New Roman" w:hAnsi="Times New Roman"/>
          <w:b/>
          <w:i/>
          <w:sz w:val="20"/>
          <w:szCs w:val="20"/>
        </w:rPr>
        <w:t>Proposal 6:</w:t>
      </w:r>
      <w:r>
        <w:rPr>
          <w:rFonts w:hint="eastAsia" w:ascii="Times New Roman" w:hAnsi="Times New Roman"/>
          <w:bCs/>
          <w:i/>
          <w:sz w:val="20"/>
          <w:szCs w:val="20"/>
        </w:rPr>
        <w:t xml:space="preserve"> Do NOT modify priority equation in section 5.2.5 in 38.214.</w:t>
      </w:r>
    </w:p>
    <w:p>
      <w:pPr>
        <w:snapToGrid w:val="0"/>
        <w:spacing w:before="180" w:beforeLines="50" w:after="180" w:afterLines="50" w:line="240" w:lineRule="exact"/>
        <w:jc w:val="both"/>
        <w:rPr>
          <w:rFonts w:ascii="Times New Roman" w:hAnsi="Times New Roman" w:eastAsia="宋体"/>
          <w:bCs/>
          <w:i/>
          <w:iCs/>
          <w:color w:val="000000"/>
          <w:sz w:val="20"/>
          <w:szCs w:val="20"/>
        </w:rPr>
      </w:pPr>
      <w:r>
        <w:rPr>
          <w:rFonts w:hint="eastAsia" w:ascii="Times New Roman" w:hAnsi="Times New Roman" w:eastAsia="宋体"/>
          <w:b/>
          <w:i/>
          <w:iCs/>
          <w:color w:val="000000"/>
          <w:sz w:val="20"/>
          <w:szCs w:val="20"/>
        </w:rPr>
        <w:t>Proposal 7:</w:t>
      </w:r>
      <w:r>
        <w:rPr>
          <w:rFonts w:hint="eastAsia" w:ascii="Times New Roman" w:hAnsi="Times New Roman" w:eastAsia="宋体"/>
          <w:bCs/>
          <w:i/>
          <w:iCs/>
          <w:color w:val="000000"/>
          <w:sz w:val="20"/>
          <w:szCs w:val="20"/>
        </w:rPr>
        <w:t xml:space="preserve"> Support </w:t>
      </w:r>
      <w:r>
        <w:rPr>
          <w:rFonts w:ascii="Times New Roman" w:hAnsi="Times New Roman" w:eastAsia="宋体"/>
          <w:bCs/>
          <w:i/>
          <w:iCs/>
          <w:color w:val="000000"/>
          <w:sz w:val="20"/>
          <w:szCs w:val="20"/>
        </w:rPr>
        <w:t xml:space="preserve">to </w:t>
      </w:r>
      <w:r>
        <w:rPr>
          <w:rFonts w:ascii="Times New Roman" w:hAnsi="Times New Roman" w:eastAsia="Malgun Gothic"/>
          <w:bCs/>
          <w:i/>
          <w:iCs/>
          <w:color w:val="000000"/>
          <w:sz w:val="20"/>
          <w:szCs w:val="20"/>
          <w:lang w:val="en-GB" w:eastAsia="en-US"/>
        </w:rPr>
        <w:t>modify the table of priority levels for Part 2 CSI omission with finer granularity.</w:t>
      </w:r>
      <w:r>
        <w:rPr>
          <w:rFonts w:hint="eastAsia" w:ascii="Times New Roman" w:hAnsi="Times New Roman" w:eastAsia="宋体"/>
          <w:bCs/>
          <w:i/>
          <w:iCs/>
          <w:color w:val="000000"/>
          <w:sz w:val="20"/>
          <w:szCs w:val="20"/>
        </w:rPr>
        <w:t xml:space="preserve"> </w:t>
      </w:r>
    </w:p>
    <w:p>
      <w:pPr>
        <w:pStyle w:val="97"/>
        <w:numPr>
          <w:ilvl w:val="0"/>
          <w:numId w:val="10"/>
        </w:numPr>
        <w:snapToGrid w:val="0"/>
        <w:spacing w:before="180" w:beforeLines="50" w:after="180" w:afterLines="50" w:line="240" w:lineRule="exact"/>
        <w:ind w:leftChars="0"/>
        <w:jc w:val="both"/>
        <w:rPr>
          <w:rFonts w:ascii="Times New Roman" w:hAnsi="Times New Roman" w:eastAsia="宋体"/>
          <w:bCs w:val="0"/>
          <w:i/>
          <w:iCs/>
          <w:color w:val="auto"/>
          <w:sz w:val="20"/>
          <w:szCs w:val="20"/>
        </w:rPr>
      </w:pPr>
      <w:r>
        <w:rPr>
          <w:rFonts w:hint="eastAsia" w:ascii="Times New Roman" w:hAnsi="Times New Roman" w:eastAsia="宋体"/>
          <w:bCs/>
          <w:i/>
          <w:iCs/>
          <w:color w:val="000000"/>
          <w:sz w:val="20"/>
          <w:szCs w:val="20"/>
        </w:rPr>
        <w:t>MTRP CSI priority is higher than STRP CSI within a single CSI reporting</w:t>
      </w:r>
      <w:r>
        <w:rPr>
          <w:rFonts w:ascii="Times New Roman" w:hAnsi="Times New Roman" w:eastAsia="宋体"/>
          <w:bCs/>
          <w:i/>
          <w:iCs/>
          <w:color w:val="000000"/>
          <w:sz w:val="20"/>
          <w:szCs w:val="20"/>
        </w:rPr>
        <w:t xml:space="preserve"> when performing CSI omission</w:t>
      </w:r>
      <w:r>
        <w:rPr>
          <w:rFonts w:hint="eastAsia" w:ascii="Times New Roman" w:hAnsi="Times New Roman" w:eastAsia="宋体"/>
          <w:bCs/>
          <w:i/>
          <w:iCs/>
          <w:color w:val="000000"/>
          <w:sz w:val="20"/>
          <w:szCs w:val="20"/>
        </w:rPr>
        <w:t>.</w:t>
      </w:r>
    </w:p>
    <w:p>
      <w:pPr>
        <w:adjustRightInd w:val="0"/>
        <w:snapToGrid w:val="0"/>
        <w:spacing w:before="180" w:beforeLines="50" w:after="180" w:afterLines="50" w:line="240" w:lineRule="auto"/>
        <w:jc w:val="both"/>
        <w:rPr>
          <w:rFonts w:ascii="Times New Roman" w:hAnsi="Times New Roman"/>
          <w:sz w:val="20"/>
          <w:szCs w:val="20"/>
          <w:lang w:val="en-GB"/>
        </w:rPr>
      </w:pPr>
      <w:r>
        <w:rPr>
          <w:rFonts w:hint="eastAsia" w:ascii="Times New Roman" w:hAnsi="Times New Roman"/>
          <w:b/>
          <w:bCs/>
          <w:sz w:val="20"/>
          <w:szCs w:val="20"/>
          <w:u w:val="single"/>
        </w:rPr>
        <w:t>For CSI enhancement based on FDD reciprocity:</w:t>
      </w:r>
    </w:p>
    <w:p>
      <w:pPr>
        <w:snapToGrid w:val="0"/>
        <w:spacing w:before="180" w:beforeLines="50" w:after="180" w:afterLines="50" w:line="240" w:lineRule="auto"/>
        <w:jc w:val="both"/>
        <w:rPr>
          <w:rFonts w:ascii="Times New Roman" w:hAnsi="Times New Roman"/>
          <w:i/>
          <w:sz w:val="20"/>
          <w:szCs w:val="20"/>
        </w:rPr>
      </w:pPr>
      <w:r>
        <w:rPr>
          <w:rFonts w:hint="eastAsia" w:ascii="Times New Roman" w:hAnsi="Times New Roman"/>
          <w:b/>
          <w:i/>
          <w:sz w:val="20"/>
          <w:szCs w:val="20"/>
        </w:rPr>
        <w:t>P</w:t>
      </w:r>
      <w:r>
        <w:rPr>
          <w:rFonts w:ascii="Times New Roman" w:hAnsi="Times New Roman"/>
          <w:b/>
          <w:i/>
          <w:sz w:val="20"/>
          <w:szCs w:val="20"/>
        </w:rPr>
        <w:t xml:space="preserve">roposal </w:t>
      </w:r>
      <w:r>
        <w:rPr>
          <w:rFonts w:hint="eastAsia" w:ascii="Times New Roman" w:hAnsi="Times New Roman"/>
          <w:b/>
          <w:i/>
          <w:sz w:val="20"/>
          <w:szCs w:val="20"/>
        </w:rPr>
        <w:t>8</w:t>
      </w:r>
      <w:r>
        <w:rPr>
          <w:rFonts w:ascii="Times New Roman" w:hAnsi="Times New Roman"/>
          <w:b/>
          <w:i/>
          <w:sz w:val="20"/>
          <w:szCs w:val="20"/>
        </w:rPr>
        <w:t>:</w:t>
      </w:r>
      <w:r>
        <w:rPr>
          <w:rFonts w:ascii="Times New Roman" w:hAnsi="Times New Roman"/>
          <w:i/>
          <w:sz w:val="20"/>
          <w:szCs w:val="20"/>
        </w:rPr>
        <w:t xml:space="preserve"> Support polarization-</w:t>
      </w:r>
      <w:r>
        <w:rPr>
          <w:rFonts w:hint="eastAsia" w:ascii="Times New Roman" w:hAnsi="Times New Roman"/>
          <w:i/>
          <w:sz w:val="20"/>
          <w:szCs w:val="20"/>
        </w:rPr>
        <w:t>common</w:t>
      </w:r>
      <w:r>
        <w:rPr>
          <w:rFonts w:ascii="Times New Roman" w:hAnsi="Times New Roman"/>
          <w:i/>
          <w:sz w:val="20"/>
          <w:szCs w:val="20"/>
        </w:rPr>
        <w:t xml:space="preserve"> W1 for all the ranks (up to rank 4) and CSI-RS ports in Rel-17 PS codebook.</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Proposal </w:t>
      </w:r>
      <w:r>
        <w:rPr>
          <w:rFonts w:hint="eastAsia" w:ascii="Times New Roman" w:hAnsi="Times New Roman"/>
          <w:b/>
          <w:i/>
          <w:sz w:val="20"/>
          <w:szCs w:val="20"/>
        </w:rPr>
        <w:t>9</w:t>
      </w:r>
      <w:r>
        <w:rPr>
          <w:rFonts w:ascii="Times New Roman" w:hAnsi="Times New Roman"/>
          <w:b/>
          <w:i/>
          <w:sz w:val="20"/>
          <w:szCs w:val="20"/>
        </w:rPr>
        <w:t xml:space="preserve">: </w:t>
      </w:r>
      <w:r>
        <w:rPr>
          <w:rFonts w:ascii="Times New Roman" w:hAnsi="Times New Roman"/>
          <w:i/>
          <w:sz w:val="20"/>
          <w:szCs w:val="20"/>
        </w:rPr>
        <w:t>Refine the definition of K</w:t>
      </w:r>
      <w:r>
        <w:rPr>
          <w:rFonts w:ascii="Times New Roman" w:hAnsi="Times New Roman"/>
          <w:i/>
          <w:sz w:val="20"/>
          <w:szCs w:val="20"/>
          <w:vertAlign w:val="subscript"/>
        </w:rPr>
        <w:t>1</w:t>
      </w:r>
      <w:r>
        <w:rPr>
          <w:rFonts w:ascii="Times New Roman" w:hAnsi="Times New Roman"/>
          <w:i/>
          <w:sz w:val="20"/>
          <w:szCs w:val="20"/>
        </w:rPr>
        <w:t xml:space="preserve"> as </w:t>
      </w:r>
      <m:oMath>
        <m:sSub>
          <m:sSubPr>
            <m:ctrlPr>
              <w:rPr>
                <w:rFonts w:ascii="Cambria Math" w:hAnsi="Cambria Math" w:eastAsia="宋体"/>
                <w:i/>
                <w:sz w:val="20"/>
                <w:szCs w:val="20"/>
              </w:rPr>
            </m:ctrlPr>
          </m:sSubPr>
          <m:e>
            <m:r>
              <w:rPr>
                <w:rFonts w:ascii="Cambria Math" w:hAnsi="Cambria Math" w:eastAsia="宋体"/>
                <w:sz w:val="20"/>
                <w:szCs w:val="20"/>
              </w:rPr>
              <m:t>K</m:t>
            </m:r>
            <m:ctrlPr>
              <w:rPr>
                <w:rFonts w:ascii="Cambria Math" w:hAnsi="Cambria Math" w:eastAsia="宋体"/>
                <w:i/>
                <w:sz w:val="20"/>
                <w:szCs w:val="20"/>
              </w:rPr>
            </m:ctrlPr>
          </m:e>
          <m:sub>
            <m:r>
              <w:rPr>
                <w:rFonts w:ascii="Cambria Math" w:hAnsi="Cambria Math" w:eastAsia="宋体"/>
                <w:sz w:val="20"/>
                <w:szCs w:val="20"/>
              </w:rPr>
              <m:t>1</m:t>
            </m:r>
            <m:ctrlPr>
              <w:rPr>
                <w:rFonts w:ascii="Cambria Math" w:hAnsi="Cambria Math" w:eastAsia="宋体"/>
                <w:i/>
                <w:sz w:val="20"/>
                <w:szCs w:val="20"/>
              </w:rPr>
            </m:ctrlPr>
          </m:sub>
        </m:sSub>
        <m:r>
          <w:rPr>
            <w:rFonts w:ascii="Cambria Math" w:hAnsi="Cambria Math" w:eastAsia="宋体"/>
            <w:sz w:val="20"/>
            <w:szCs w:val="20"/>
          </w:rPr>
          <m:t>=</m:t>
        </m:r>
        <m:d>
          <m:dPr>
            <m:begChr m:val="⌈"/>
            <m:endChr m:val="⌉"/>
            <m:ctrlPr>
              <w:rPr>
                <w:rFonts w:ascii="Cambria Math" w:hAnsi="Cambria Math" w:eastAsia="宋体"/>
                <w:i/>
                <w:sz w:val="20"/>
                <w:szCs w:val="20"/>
              </w:rPr>
            </m:ctrlPr>
          </m:dPr>
          <m:e>
            <m:r>
              <w:rPr>
                <w:rFonts w:ascii="Cambria Math" w:hAnsi="Cambria Math" w:eastAsia="宋体"/>
                <w:sz w:val="20"/>
                <w:szCs w:val="20"/>
              </w:rPr>
              <m:t>alpha×P/2</m:t>
            </m:r>
            <m:ctrlPr>
              <w:rPr>
                <w:rFonts w:ascii="Cambria Math" w:hAnsi="Cambria Math" w:eastAsia="宋体"/>
                <w:i/>
                <w:sz w:val="20"/>
                <w:szCs w:val="20"/>
              </w:rPr>
            </m:ctrlPr>
          </m:e>
        </m:d>
        <m:r>
          <w:rPr>
            <w:rFonts w:ascii="Cambria Math" w:hAnsi="Cambria Math" w:eastAsia="宋体"/>
            <w:sz w:val="20"/>
            <w:szCs w:val="20"/>
          </w:rPr>
          <m:t>*2</m:t>
        </m:r>
      </m:oMath>
      <w:r>
        <w:rPr>
          <w:rFonts w:ascii="Times New Roman" w:hAnsi="Times New Roman"/>
          <w:i/>
          <w:sz w:val="20"/>
          <w:szCs w:val="20"/>
        </w:rPr>
        <w:t xml:space="preserve"> to ensure </w:t>
      </w:r>
      <w:r>
        <w:rPr>
          <w:rFonts w:ascii="Times New Roman" w:hAnsi="Times New Roman" w:eastAsia="宋体"/>
          <w:i/>
          <w:sz w:val="20"/>
          <w:szCs w:val="20"/>
        </w:rPr>
        <w:t>K</w:t>
      </w:r>
      <w:r>
        <w:rPr>
          <w:rFonts w:ascii="Times New Roman" w:hAnsi="Times New Roman" w:eastAsia="宋体"/>
          <w:i/>
          <w:sz w:val="20"/>
          <w:szCs w:val="20"/>
          <w:vertAlign w:val="subscript"/>
        </w:rPr>
        <w:t>1</w:t>
      </w:r>
      <w:r>
        <w:rPr>
          <w:rFonts w:ascii="Times New Roman" w:hAnsi="Times New Roman" w:eastAsia="宋体"/>
          <w:i/>
          <w:sz w:val="20"/>
          <w:szCs w:val="20"/>
        </w:rPr>
        <w:t xml:space="preserve"> are even integers.</w:t>
      </w:r>
    </w:p>
    <w:p>
      <w:pPr>
        <w:snapToGrid w:val="0"/>
        <w:spacing w:before="180" w:beforeLines="50" w:after="180" w:afterLines="50" w:line="240" w:lineRule="auto"/>
        <w:jc w:val="both"/>
        <w:rPr>
          <w:rFonts w:ascii="Times New Roman" w:hAnsi="Times New Roman"/>
          <w:b/>
          <w:i/>
          <w:sz w:val="20"/>
          <w:szCs w:val="20"/>
        </w:rPr>
      </w:pPr>
      <w:r>
        <w:rPr>
          <w:rFonts w:hint="eastAsia" w:ascii="Times New Roman" w:hAnsi="Times New Roman"/>
          <w:b/>
          <w:i/>
          <w:sz w:val="20"/>
          <w:szCs w:val="20"/>
        </w:rPr>
        <w:t>P</w:t>
      </w:r>
      <w:r>
        <w:rPr>
          <w:rFonts w:ascii="Times New Roman" w:hAnsi="Times New Roman"/>
          <w:b/>
          <w:i/>
          <w:sz w:val="20"/>
          <w:szCs w:val="20"/>
        </w:rPr>
        <w:t xml:space="preserve">roposal </w:t>
      </w:r>
      <w:r>
        <w:rPr>
          <w:rFonts w:hint="eastAsia" w:ascii="Times New Roman" w:hAnsi="Times New Roman"/>
          <w:b/>
          <w:i/>
          <w:sz w:val="20"/>
          <w:szCs w:val="20"/>
        </w:rPr>
        <w:t>10</w:t>
      </w:r>
      <w:r>
        <w:rPr>
          <w:rFonts w:ascii="Times New Roman" w:hAnsi="Times New Roman"/>
          <w:b/>
          <w:i/>
          <w:sz w:val="20"/>
          <w:szCs w:val="20"/>
        </w:rPr>
        <w:t xml:space="preserve">: </w:t>
      </w:r>
      <w:r>
        <w:rPr>
          <w:rFonts w:ascii="Times New Roman" w:hAnsi="Times New Roman"/>
          <w:i/>
          <w:sz w:val="20"/>
          <w:szCs w:val="20"/>
        </w:rPr>
        <w:t>On Wf in Rel-17 PS codebook</w:t>
      </w:r>
    </w:p>
    <w:p>
      <w:pPr>
        <w:pStyle w:val="97"/>
        <w:numPr>
          <w:ilvl w:val="0"/>
          <w:numId w:val="15"/>
        </w:numPr>
        <w:snapToGrid w:val="0"/>
        <w:spacing w:before="180" w:beforeLines="50" w:after="180" w:afterLines="50" w:line="240" w:lineRule="auto"/>
        <w:ind w:leftChars="0"/>
        <w:jc w:val="both"/>
        <w:rPr>
          <w:rFonts w:ascii="Times New Roman" w:hAnsi="Times New Roman"/>
          <w:i/>
          <w:sz w:val="20"/>
          <w:szCs w:val="20"/>
        </w:rPr>
      </w:pPr>
      <w:r>
        <w:rPr>
          <w:rFonts w:hint="eastAsia" w:ascii="Times New Roman" w:hAnsi="Times New Roman"/>
          <w:i/>
          <w:sz w:val="20"/>
          <w:szCs w:val="20"/>
        </w:rPr>
        <w:t>S</w:t>
      </w:r>
      <w:r>
        <w:rPr>
          <w:rFonts w:ascii="Times New Roman" w:hAnsi="Times New Roman"/>
          <w:i/>
          <w:sz w:val="20"/>
          <w:szCs w:val="20"/>
        </w:rPr>
        <w:t>upport the following (N, Mv) values</w:t>
      </w:r>
    </w:p>
    <w:p>
      <w:pPr>
        <w:pStyle w:val="97"/>
        <w:numPr>
          <w:ilvl w:val="1"/>
          <w:numId w:val="15"/>
        </w:numPr>
        <w:snapToGrid w:val="0"/>
        <w:spacing w:before="180" w:beforeLines="50" w:after="180" w:afterLines="50" w:line="240" w:lineRule="auto"/>
        <w:ind w:leftChars="0"/>
        <w:jc w:val="both"/>
        <w:rPr>
          <w:rFonts w:ascii="Times New Roman" w:hAnsi="Times New Roman"/>
          <w:i/>
          <w:sz w:val="20"/>
          <w:szCs w:val="20"/>
        </w:rPr>
      </w:pPr>
      <w:r>
        <w:rPr>
          <w:rFonts w:ascii="Times New Roman" w:hAnsi="Times New Roman"/>
          <w:i/>
          <w:sz w:val="20"/>
          <w:szCs w:val="20"/>
        </w:rPr>
        <w:t>N = {2, 4} for Mv=2</w:t>
      </w:r>
    </w:p>
    <w:p>
      <w:pPr>
        <w:pStyle w:val="97"/>
        <w:numPr>
          <w:ilvl w:val="1"/>
          <w:numId w:val="15"/>
        </w:numPr>
        <w:snapToGrid w:val="0"/>
        <w:spacing w:before="180" w:beforeLines="50" w:after="180" w:afterLines="50" w:line="240" w:lineRule="auto"/>
        <w:ind w:leftChars="0"/>
        <w:jc w:val="both"/>
        <w:rPr>
          <w:rFonts w:ascii="Times New Roman" w:hAnsi="Times New Roman"/>
          <w:i/>
          <w:sz w:val="20"/>
          <w:szCs w:val="20"/>
        </w:rPr>
      </w:pPr>
      <w:r>
        <w:rPr>
          <w:rFonts w:ascii="Times New Roman" w:hAnsi="Times New Roman"/>
          <w:i/>
          <w:sz w:val="20"/>
          <w:szCs w:val="20"/>
        </w:rPr>
        <w:t>N=1 for Mv=1</w:t>
      </w:r>
    </w:p>
    <w:p>
      <w:pPr>
        <w:pStyle w:val="97"/>
        <w:numPr>
          <w:ilvl w:val="0"/>
          <w:numId w:val="15"/>
        </w:numPr>
        <w:snapToGrid w:val="0"/>
        <w:spacing w:before="180" w:beforeLines="50" w:after="180" w:afterLines="50" w:line="240" w:lineRule="auto"/>
        <w:ind w:leftChars="0"/>
        <w:jc w:val="both"/>
        <w:rPr>
          <w:rFonts w:ascii="Times New Roman" w:hAnsi="Times New Roman"/>
          <w:i/>
          <w:sz w:val="20"/>
          <w:szCs w:val="20"/>
        </w:rPr>
      </w:pPr>
      <w:r>
        <w:rPr>
          <w:rFonts w:ascii="Times New Roman" w:hAnsi="Times New Roman"/>
          <w:i/>
          <w:sz w:val="20"/>
          <w:szCs w:val="20"/>
        </w:rPr>
        <w:t xml:space="preserve">For N&gt;Mv, use </w:t>
      </w:r>
      <m:oMath>
        <m:d>
          <m:dPr>
            <m:begChr m:val="⌈"/>
            <m:endChr m:val="⌉"/>
            <m:ctrlPr>
              <w:rPr>
                <w:rFonts w:ascii="Cambria Math" w:hAnsi="Cambria Math"/>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w:rPr>
                        <w:rFonts w:ascii="Cambria Math" w:hAnsi="Cambria Math"/>
                        <w:sz w:val="20"/>
                        <w:szCs w:val="20"/>
                      </w:rPr>
                      <m:t>log</m:t>
                    </m:r>
                    <m:ctrlPr>
                      <w:rPr>
                        <w:rFonts w:ascii="Cambria Math" w:hAnsi="Cambria Math"/>
                        <w:i/>
                        <w:sz w:val="20"/>
                        <w:szCs w:val="20"/>
                      </w:rPr>
                    </m:ctrlPr>
                  </m:e>
                  <m:sub>
                    <m:r>
                      <w:rPr>
                        <w:rFonts w:ascii="Cambria Math" w:hAnsi="Cambria Math"/>
                        <w:sz w:val="20"/>
                        <w:szCs w:val="20"/>
                      </w:rPr>
                      <m:t>2</m:t>
                    </m:r>
                    <m:ctrlPr>
                      <w:rPr>
                        <w:rFonts w:ascii="Cambria Math" w:hAnsi="Cambria Math"/>
                        <w:i/>
                        <w:sz w:val="20"/>
                        <w:szCs w:val="20"/>
                      </w:rPr>
                    </m:ctrlPr>
                  </m:sub>
                </m:sSub>
                <m:ctrlPr>
                  <w:rPr>
                    <w:rFonts w:ascii="Cambria Math" w:hAnsi="Cambria Math"/>
                    <w:i/>
                    <w:sz w:val="20"/>
                    <w:szCs w:val="20"/>
                  </w:rPr>
                </m:ctrlPr>
              </m:fName>
              <m:e>
                <m:sSubSup>
                  <m:sSubSupPr>
                    <m:ctrlPr>
                      <w:rPr>
                        <w:rFonts w:ascii="Cambria Math" w:hAnsi="Cambria Math"/>
                        <w:i/>
                        <w:sz w:val="20"/>
                        <w:szCs w:val="20"/>
                      </w:rPr>
                    </m:ctrlPr>
                  </m:sSubSupPr>
                  <m:e>
                    <m:r>
                      <w:rPr>
                        <w:rFonts w:ascii="Cambria Math" w:hAnsi="Cambria Math"/>
                        <w:sz w:val="20"/>
                        <w:szCs w:val="20"/>
                      </w:rPr>
                      <m:t>C</m:t>
                    </m:r>
                    <m:ctrlPr>
                      <w:rPr>
                        <w:rFonts w:ascii="Cambria Math" w:hAnsi="Cambria Math"/>
                        <w:i/>
                        <w:sz w:val="20"/>
                        <w:szCs w:val="20"/>
                      </w:rPr>
                    </m:ctrlPr>
                  </m:e>
                  <m:sub>
                    <m:r>
                      <w:rPr>
                        <w:rFonts w:ascii="Cambria Math" w:hAnsi="Cambria Math"/>
                        <w:sz w:val="20"/>
                        <w:szCs w:val="20"/>
                      </w:rPr>
                      <m:t>N</m:t>
                    </m:r>
                    <m:ctrlPr>
                      <w:rPr>
                        <w:rFonts w:ascii="Cambria Math" w:hAnsi="Cambria Math"/>
                        <w:i/>
                        <w:sz w:val="20"/>
                        <w:szCs w:val="20"/>
                      </w:rPr>
                    </m:ctrlPr>
                  </m:sub>
                  <m:sup>
                    <m:sSub>
                      <m:sSubPr>
                        <m:ctrlPr>
                          <w:rPr>
                            <w:rFonts w:ascii="Cambria Math" w:hAnsi="Cambria Math"/>
                            <w:i/>
                            <w:sz w:val="20"/>
                            <w:szCs w:val="20"/>
                          </w:rPr>
                        </m:ctrlPr>
                      </m:sSubPr>
                      <m:e>
                        <m:r>
                          <w:rPr>
                            <w:rFonts w:ascii="Cambria Math" w:hAnsi="Cambria Math"/>
                            <w:sz w:val="20"/>
                            <w:szCs w:val="20"/>
                          </w:rPr>
                          <m:t>M</m:t>
                        </m:r>
                        <m:ctrlPr>
                          <w:rPr>
                            <w:rFonts w:ascii="Cambria Math" w:hAnsi="Cambria Math"/>
                            <w:i/>
                            <w:sz w:val="20"/>
                            <w:szCs w:val="20"/>
                          </w:rPr>
                        </m:ctrlPr>
                      </m:e>
                      <m:sub>
                        <m:r>
                          <w:rPr>
                            <w:rFonts w:ascii="Cambria Math" w:hAnsi="Cambria Math"/>
                            <w:sz w:val="20"/>
                            <w:szCs w:val="20"/>
                          </w:rPr>
                          <m:t>v</m:t>
                        </m:r>
                        <m:ctrlPr>
                          <w:rPr>
                            <w:rFonts w:ascii="Cambria Math" w:hAnsi="Cambria Math"/>
                            <w:i/>
                            <w:sz w:val="20"/>
                            <w:szCs w:val="20"/>
                          </w:rPr>
                        </m:ctrlPr>
                      </m:sub>
                    </m:sSub>
                    <m:ctrlPr>
                      <w:rPr>
                        <w:rFonts w:ascii="Cambria Math" w:hAnsi="Cambria Math"/>
                        <w:i/>
                        <w:sz w:val="20"/>
                        <w:szCs w:val="20"/>
                      </w:rPr>
                    </m:ctrlPr>
                  </m:sup>
                </m:sSubSup>
                <m:ctrlPr>
                  <w:rPr>
                    <w:rFonts w:ascii="Cambria Math" w:hAnsi="Cambria Math"/>
                    <w:i/>
                    <w:sz w:val="20"/>
                    <w:szCs w:val="20"/>
                  </w:rPr>
                </m:ctrlPr>
              </m:e>
            </m:func>
            <m:ctrlPr>
              <w:rPr>
                <w:rFonts w:ascii="Cambria Math" w:hAnsi="Cambria Math"/>
                <w:sz w:val="20"/>
                <w:szCs w:val="20"/>
              </w:rPr>
            </m:ctrlPr>
          </m:e>
        </m:d>
      </m:oMath>
      <w:r>
        <w:rPr>
          <w:rFonts w:hint="eastAsia" w:ascii="Times New Roman" w:hAnsi="Times New Roman"/>
          <w:i/>
          <w:sz w:val="20"/>
          <w:szCs w:val="20"/>
        </w:rPr>
        <w:t xml:space="preserve"> </w:t>
      </w:r>
      <w:r>
        <w:rPr>
          <w:rFonts w:ascii="Times New Roman" w:hAnsi="Times New Roman"/>
          <w:i/>
          <w:sz w:val="20"/>
          <w:szCs w:val="20"/>
        </w:rPr>
        <w:t>bits to report Wf.</w:t>
      </w:r>
    </w:p>
    <w:p>
      <w:pPr>
        <w:pStyle w:val="97"/>
        <w:numPr>
          <w:ilvl w:val="0"/>
          <w:numId w:val="15"/>
        </w:numPr>
        <w:snapToGrid w:val="0"/>
        <w:spacing w:before="180" w:beforeLines="50" w:after="180" w:afterLines="50" w:line="240" w:lineRule="auto"/>
        <w:ind w:leftChars="0"/>
        <w:jc w:val="both"/>
        <w:rPr>
          <w:rFonts w:ascii="Times New Roman" w:hAnsi="Times New Roman"/>
          <w:i/>
          <w:sz w:val="20"/>
          <w:szCs w:val="20"/>
        </w:rPr>
      </w:pPr>
      <w:r>
        <w:rPr>
          <w:rFonts w:ascii="Times New Roman" w:hAnsi="Times New Roman"/>
          <w:i/>
          <w:sz w:val="20"/>
          <w:szCs w:val="20"/>
        </w:rPr>
        <w:t>For rank 3-4, use the same design of length-N window for UE reporting as rank 1/2. The supported values of Mv and N are same as rank 1/2.</w:t>
      </w:r>
    </w:p>
    <w:p>
      <w:pPr>
        <w:pStyle w:val="97"/>
        <w:numPr>
          <w:ilvl w:val="0"/>
          <w:numId w:val="15"/>
        </w:numPr>
        <w:snapToGrid w:val="0"/>
        <w:spacing w:before="180" w:beforeLines="50" w:after="180" w:afterLines="50" w:line="240" w:lineRule="auto"/>
        <w:ind w:leftChars="0"/>
        <w:jc w:val="both"/>
        <w:rPr>
          <w:rFonts w:ascii="Times New Roman" w:hAnsi="Times New Roman"/>
          <w:i/>
          <w:sz w:val="20"/>
          <w:szCs w:val="20"/>
        </w:rPr>
      </w:pPr>
      <w:r>
        <w:rPr>
          <w:rFonts w:ascii="Times New Roman" w:hAnsi="Times New Roman"/>
          <w:i/>
          <w:sz w:val="20"/>
          <w:szCs w:val="20"/>
        </w:rPr>
        <w:t xml:space="preserve">Support R from the set </w:t>
      </w:r>
      <w:r>
        <w:rPr>
          <w:rFonts w:ascii="Times New Roman" w:hAnsi="Times New Roman"/>
          <w:i/>
          <w:sz w:val="20"/>
          <w:szCs w:val="20"/>
          <w:lang w:val="en-GB"/>
        </w:rPr>
        <w:t xml:space="preserve">{1, </w:t>
      </w:r>
      <m:oMath>
        <m:r>
          <w:rPr>
            <w:rFonts w:ascii="Cambria Math" w:hAnsi="Cambria Math"/>
            <w:sz w:val="20"/>
            <w:szCs w:val="20"/>
            <w:lang w:val="en-GB"/>
          </w:rPr>
          <m:t>D⋅</m:t>
        </m:r>
        <m:sSubSup>
          <m:sSubSupPr>
            <m:ctrlPr>
              <w:rPr>
                <w:rFonts w:ascii="Cambria Math" w:hAnsi="Cambria Math"/>
                <w:i/>
                <w:sz w:val="20"/>
                <w:szCs w:val="20"/>
                <w:lang w:val="en-GB"/>
              </w:rPr>
            </m:ctrlPr>
          </m:sSubSupPr>
          <m:e>
            <m:r>
              <w:rPr>
                <w:rFonts w:ascii="Cambria Math" w:hAnsi="Cambria Math"/>
                <w:sz w:val="20"/>
                <w:szCs w:val="20"/>
                <w:lang w:val="en-GB"/>
              </w:rPr>
              <m:t>N</m:t>
            </m:r>
            <m:ctrlPr>
              <w:rPr>
                <w:rFonts w:ascii="Cambria Math" w:hAnsi="Cambria Math"/>
                <w:i/>
                <w:sz w:val="20"/>
                <w:szCs w:val="20"/>
                <w:lang w:val="en-GB"/>
              </w:rPr>
            </m:ctrlPr>
          </m:e>
          <m:sub>
            <m:r>
              <w:rPr>
                <w:rFonts w:ascii="Cambria Math" w:hAnsi="Cambria Math"/>
                <w:sz w:val="20"/>
                <w:szCs w:val="20"/>
                <w:lang w:val="en-GB"/>
              </w:rPr>
              <m:t>PRB</m:t>
            </m:r>
            <m:ctrlPr>
              <w:rPr>
                <w:rFonts w:ascii="Cambria Math" w:hAnsi="Cambria Math"/>
                <w:i/>
                <w:sz w:val="20"/>
                <w:szCs w:val="20"/>
                <w:lang w:val="en-GB"/>
              </w:rPr>
            </m:ctrlPr>
          </m:sub>
          <m:sup>
            <m:r>
              <w:rPr>
                <w:rFonts w:ascii="Cambria Math" w:hAnsi="Cambria Math"/>
                <w:sz w:val="20"/>
                <w:szCs w:val="20"/>
                <w:lang w:val="en-GB"/>
              </w:rPr>
              <m:t>SB</m:t>
            </m:r>
            <m:ctrlPr>
              <w:rPr>
                <w:rFonts w:ascii="Cambria Math" w:hAnsi="Cambria Math"/>
                <w:i/>
                <w:sz w:val="20"/>
                <w:szCs w:val="20"/>
                <w:lang w:val="en-GB"/>
              </w:rPr>
            </m:ctrlPr>
          </m:sup>
        </m:sSubSup>
      </m:oMath>
      <w:r>
        <w:rPr>
          <w:rFonts w:ascii="Times New Roman" w:hAnsi="Times New Roman"/>
          <w:i/>
          <w:sz w:val="20"/>
          <w:szCs w:val="20"/>
          <w:lang w:val="en-GB"/>
        </w:rPr>
        <w:t>}</w:t>
      </w:r>
      <w:r>
        <w:rPr>
          <w:rFonts w:ascii="Times New Roman" w:hAnsi="Times New Roman"/>
          <w:i/>
          <w:sz w:val="20"/>
          <w:szCs w:val="20"/>
        </w:rPr>
        <w:t>.</w:t>
      </w:r>
    </w:p>
    <w:p>
      <w:pPr>
        <w:snapToGrid w:val="0"/>
        <w:spacing w:before="180" w:beforeLines="50" w:after="180" w:afterLines="50" w:line="240" w:lineRule="auto"/>
        <w:jc w:val="both"/>
        <w:rPr>
          <w:rFonts w:ascii="Times New Roman" w:hAnsi="Times New Roman"/>
          <w:i/>
          <w:sz w:val="20"/>
          <w:szCs w:val="20"/>
        </w:rPr>
      </w:pPr>
      <w:r>
        <w:rPr>
          <w:rFonts w:ascii="Times New Roman" w:hAnsi="Times New Roman"/>
          <w:b/>
          <w:i/>
          <w:sz w:val="20"/>
          <w:szCs w:val="20"/>
        </w:rPr>
        <w:t xml:space="preserve">Proposal </w:t>
      </w:r>
      <w:r>
        <w:rPr>
          <w:rFonts w:hint="eastAsia" w:ascii="Times New Roman" w:hAnsi="Times New Roman"/>
          <w:b/>
          <w:i/>
          <w:sz w:val="20"/>
          <w:szCs w:val="20"/>
        </w:rPr>
        <w:t>11</w:t>
      </w:r>
      <w:r>
        <w:rPr>
          <w:rFonts w:ascii="Times New Roman" w:hAnsi="Times New Roman"/>
          <w:b/>
          <w:i/>
          <w:sz w:val="20"/>
          <w:szCs w:val="20"/>
        </w:rPr>
        <w:t xml:space="preserve">: </w:t>
      </w:r>
      <w:r>
        <w:rPr>
          <w:rFonts w:ascii="Times New Roman" w:hAnsi="Times New Roman"/>
          <w:i/>
          <w:sz w:val="20"/>
          <w:szCs w:val="20"/>
        </w:rPr>
        <w:t>For Wf off vs Mv=1</w:t>
      </w:r>
    </w:p>
    <w:p>
      <w:pPr>
        <w:pStyle w:val="97"/>
        <w:numPr>
          <w:ilvl w:val="0"/>
          <w:numId w:val="15"/>
        </w:numPr>
        <w:snapToGrid w:val="0"/>
        <w:spacing w:before="180" w:beforeLines="50" w:after="180" w:afterLines="50" w:line="240" w:lineRule="auto"/>
        <w:ind w:leftChars="0"/>
        <w:jc w:val="both"/>
        <w:rPr>
          <w:rFonts w:ascii="Times New Roman" w:hAnsi="Times New Roman"/>
          <w:i/>
          <w:sz w:val="20"/>
          <w:szCs w:val="20"/>
        </w:rPr>
      </w:pPr>
      <w:r>
        <w:rPr>
          <w:rFonts w:hint="eastAsia" w:ascii="Times New Roman" w:hAnsi="Times New Roman"/>
          <w:i/>
          <w:sz w:val="20"/>
          <w:szCs w:val="20"/>
        </w:rPr>
        <w:t>S</w:t>
      </w:r>
      <w:r>
        <w:rPr>
          <w:rFonts w:ascii="Times New Roman" w:hAnsi="Times New Roman"/>
          <w:i/>
          <w:sz w:val="20"/>
          <w:szCs w:val="20"/>
        </w:rPr>
        <w:t xml:space="preserve">upport Alt 2: </w:t>
      </w:r>
      <w:r>
        <w:rPr>
          <w:rFonts w:ascii="Times New Roman" w:hAnsi="Times New Roman"/>
          <w:i/>
          <w:sz w:val="20"/>
          <w:szCs w:val="20"/>
          <w:lang w:val="en-GB"/>
        </w:rPr>
        <w:t>W</w:t>
      </w:r>
      <w:r>
        <w:rPr>
          <w:rFonts w:ascii="Times New Roman" w:hAnsi="Times New Roman"/>
          <w:i/>
          <w:sz w:val="20"/>
          <w:szCs w:val="20"/>
          <w:vertAlign w:val="subscript"/>
          <w:lang w:val="en-GB"/>
        </w:rPr>
        <w:t>f</w:t>
      </w:r>
      <w:r>
        <w:rPr>
          <w:rFonts w:ascii="Times New Roman" w:hAnsi="Times New Roman"/>
          <w:i/>
          <w:sz w:val="20"/>
          <w:szCs w:val="20"/>
          <w:lang w:val="en-GB"/>
        </w:rPr>
        <w:t xml:space="preserve"> OFF and W</w:t>
      </w:r>
      <w:r>
        <w:rPr>
          <w:rFonts w:ascii="Times New Roman" w:hAnsi="Times New Roman"/>
          <w:i/>
          <w:sz w:val="20"/>
          <w:szCs w:val="20"/>
          <w:vertAlign w:val="subscript"/>
          <w:lang w:val="en-GB"/>
        </w:rPr>
        <w:t>f</w:t>
      </w:r>
      <w:r>
        <w:rPr>
          <w:rFonts w:ascii="Times New Roman" w:hAnsi="Times New Roman"/>
          <w:i/>
          <w:sz w:val="20"/>
          <w:szCs w:val="20"/>
          <w:lang w:val="en-GB"/>
        </w:rPr>
        <w:t xml:space="preserve"> ON with M</w:t>
      </w:r>
      <w:r>
        <w:rPr>
          <w:rFonts w:ascii="Times New Roman" w:hAnsi="Times New Roman"/>
          <w:i/>
          <w:sz w:val="20"/>
          <w:szCs w:val="20"/>
          <w:vertAlign w:val="subscript"/>
          <w:lang w:val="en-GB"/>
        </w:rPr>
        <w:t>v</w:t>
      </w:r>
      <w:r>
        <w:rPr>
          <w:rFonts w:ascii="Times New Roman" w:hAnsi="Times New Roman"/>
          <w:i/>
          <w:sz w:val="20"/>
          <w:szCs w:val="20"/>
          <w:lang w:val="en-GB"/>
        </w:rPr>
        <w:t>=1 are same, and W</w:t>
      </w:r>
      <w:r>
        <w:rPr>
          <w:rFonts w:ascii="Times New Roman" w:hAnsi="Times New Roman"/>
          <w:i/>
          <w:sz w:val="20"/>
          <w:szCs w:val="20"/>
          <w:vertAlign w:val="subscript"/>
          <w:lang w:val="en-GB"/>
        </w:rPr>
        <w:t>f</w:t>
      </w:r>
      <w:r>
        <w:rPr>
          <w:rFonts w:ascii="Times New Roman" w:hAnsi="Times New Roman"/>
          <w:i/>
          <w:sz w:val="20"/>
          <w:szCs w:val="20"/>
          <w:lang w:val="en-GB"/>
        </w:rPr>
        <w:t xml:space="preserve"> is an all-one vector of length 1, i.e., a scalar. W</w:t>
      </w:r>
      <w:r>
        <w:rPr>
          <w:rFonts w:ascii="Times New Roman" w:hAnsi="Times New Roman"/>
          <w:i/>
          <w:sz w:val="20"/>
          <w:szCs w:val="20"/>
          <w:vertAlign w:val="subscript"/>
          <w:lang w:val="en-GB"/>
        </w:rPr>
        <w:t>f</w:t>
      </w:r>
      <w:r>
        <w:rPr>
          <w:rFonts w:ascii="Times New Roman" w:hAnsi="Times New Roman"/>
          <w:i/>
          <w:sz w:val="20"/>
          <w:szCs w:val="20"/>
          <w:lang w:val="en-GB"/>
        </w:rPr>
        <w:t xml:space="preserve"> as an all-one vector of length N</w:t>
      </w:r>
      <w:r>
        <w:rPr>
          <w:rFonts w:ascii="Times New Roman" w:hAnsi="Times New Roman"/>
          <w:i/>
          <w:sz w:val="20"/>
          <w:szCs w:val="20"/>
          <w:vertAlign w:val="subscript"/>
          <w:lang w:val="en-GB"/>
        </w:rPr>
        <w:t>3</w:t>
      </w:r>
      <w:r>
        <w:rPr>
          <w:rFonts w:ascii="Times New Roman" w:hAnsi="Times New Roman"/>
          <w:i/>
          <w:sz w:val="20"/>
          <w:szCs w:val="20"/>
          <w:lang w:val="en-GB"/>
        </w:rPr>
        <w:t xml:space="preserve"> is not needed.</w:t>
      </w:r>
    </w:p>
    <w:p>
      <w:pPr>
        <w:pStyle w:val="97"/>
        <w:numPr>
          <w:ilvl w:val="1"/>
          <w:numId w:val="15"/>
        </w:numPr>
        <w:snapToGrid w:val="0"/>
        <w:spacing w:before="180" w:beforeLines="50" w:after="180" w:afterLines="50" w:line="240" w:lineRule="auto"/>
        <w:ind w:leftChars="0"/>
        <w:jc w:val="both"/>
        <w:rPr>
          <w:rFonts w:ascii="Times New Roman" w:hAnsi="Times New Roman"/>
          <w:i/>
          <w:sz w:val="20"/>
          <w:szCs w:val="20"/>
        </w:rPr>
      </w:pPr>
      <w:r>
        <w:rPr>
          <w:rFonts w:ascii="Times New Roman" w:hAnsi="Times New Roman"/>
          <w:i/>
          <w:sz w:val="20"/>
          <w:szCs w:val="20"/>
          <w:lang w:val="en-GB"/>
        </w:rPr>
        <w:t>Use PMI format to configure Wf off or Wf on with Mv=2. If PMI format is configured as WB, Wf is off; otherwise Wf is on with Mv=2.</w:t>
      </w:r>
    </w:p>
    <w:p>
      <w:pPr>
        <w:pStyle w:val="97"/>
        <w:numPr>
          <w:ilvl w:val="0"/>
          <w:numId w:val="15"/>
        </w:numPr>
        <w:snapToGrid w:val="0"/>
        <w:spacing w:before="180" w:beforeLines="50" w:after="180" w:afterLines="50" w:line="240" w:lineRule="auto"/>
        <w:ind w:leftChars="0"/>
        <w:jc w:val="both"/>
        <w:rPr>
          <w:rFonts w:ascii="Times New Roman" w:hAnsi="Times New Roman"/>
          <w:i/>
          <w:sz w:val="20"/>
          <w:szCs w:val="20"/>
        </w:rPr>
      </w:pPr>
      <w:r>
        <w:rPr>
          <w:rFonts w:hint="eastAsia" w:ascii="Times New Roman" w:hAnsi="Times New Roman"/>
          <w:i/>
          <w:sz w:val="20"/>
          <w:szCs w:val="20"/>
        </w:rPr>
        <w:t>A</w:t>
      </w:r>
      <w:r>
        <w:rPr>
          <w:rFonts w:ascii="Times New Roman" w:hAnsi="Times New Roman"/>
          <w:i/>
          <w:sz w:val="20"/>
          <w:szCs w:val="20"/>
        </w:rPr>
        <w:t>lt 3 can be supported if Alt 2 is not supported.</w:t>
      </w:r>
    </w:p>
    <w:p>
      <w:pPr>
        <w:snapToGrid w:val="0"/>
        <w:spacing w:before="180" w:beforeLines="50" w:after="180" w:afterLines="50" w:line="240" w:lineRule="auto"/>
        <w:jc w:val="both"/>
        <w:rPr>
          <w:rFonts w:ascii="Times New Roman" w:hAnsi="Times New Roman"/>
          <w:i/>
          <w:sz w:val="20"/>
          <w:szCs w:val="20"/>
        </w:rPr>
      </w:pPr>
      <w:r>
        <w:rPr>
          <w:rFonts w:hint="eastAsia" w:ascii="Times New Roman" w:hAnsi="Times New Roman"/>
          <w:b/>
          <w:i/>
          <w:sz w:val="20"/>
          <w:szCs w:val="20"/>
        </w:rPr>
        <w:t>P</w:t>
      </w:r>
      <w:r>
        <w:rPr>
          <w:rFonts w:ascii="Times New Roman" w:hAnsi="Times New Roman"/>
          <w:b/>
          <w:i/>
          <w:sz w:val="20"/>
          <w:szCs w:val="20"/>
        </w:rPr>
        <w:t xml:space="preserve">roposal </w:t>
      </w:r>
      <w:r>
        <w:rPr>
          <w:rFonts w:hint="eastAsia" w:ascii="Times New Roman" w:hAnsi="Times New Roman"/>
          <w:b/>
          <w:i/>
          <w:sz w:val="20"/>
          <w:szCs w:val="20"/>
        </w:rPr>
        <w:t>12</w:t>
      </w:r>
      <w:r>
        <w:rPr>
          <w:rFonts w:ascii="Times New Roman" w:hAnsi="Times New Roman"/>
          <w:b/>
          <w:i/>
          <w:sz w:val="20"/>
          <w:szCs w:val="20"/>
        </w:rPr>
        <w:t>:</w:t>
      </w:r>
      <w:r>
        <w:rPr>
          <w:rFonts w:ascii="Times New Roman" w:hAnsi="Times New Roman"/>
          <w:i/>
          <w:sz w:val="20"/>
          <w:szCs w:val="20"/>
        </w:rPr>
        <w:t xml:space="preserve"> </w:t>
      </w:r>
      <w:r>
        <w:rPr>
          <w:rFonts w:hint="eastAsia" w:ascii="Times New Roman" w:hAnsi="Times New Roman"/>
          <w:i/>
          <w:sz w:val="20"/>
          <w:szCs w:val="20"/>
        </w:rPr>
        <w:t>Support</w:t>
      </w:r>
      <w:r>
        <w:rPr>
          <w:rFonts w:ascii="Times New Roman" w:hAnsi="Times New Roman"/>
          <w:i/>
          <w:sz w:val="20"/>
          <w:szCs w:val="20"/>
        </w:rPr>
        <w:t xml:space="preserve"> UE reporting the total number of non-zero coefficients in CSI Part 1.</w:t>
      </w:r>
    </w:p>
    <w:p>
      <w:pPr>
        <w:pStyle w:val="97"/>
        <w:numPr>
          <w:ilvl w:val="0"/>
          <w:numId w:val="15"/>
        </w:numPr>
        <w:snapToGrid w:val="0"/>
        <w:spacing w:before="180" w:beforeLines="50" w:after="180" w:afterLines="50" w:line="240" w:lineRule="auto"/>
        <w:ind w:leftChars="0"/>
        <w:jc w:val="both"/>
        <w:rPr>
          <w:rFonts w:ascii="Times New Roman" w:hAnsi="Times New Roman"/>
          <w:i/>
          <w:sz w:val="20"/>
          <w:szCs w:val="20"/>
          <w:lang w:val="en-GB"/>
        </w:rPr>
      </w:pPr>
      <w:r>
        <w:rPr>
          <w:rFonts w:ascii="Times New Roman" w:hAnsi="Times New Roman"/>
          <w:i/>
          <w:sz w:val="20"/>
          <w:szCs w:val="20"/>
          <w:lang w:val="en-GB"/>
        </w:rPr>
        <w:t xml:space="preserve">The bitmap for indicating non-zero coefficients in W2 can be absent when Beta = 1 and the </w:t>
      </w:r>
      <w:r>
        <w:rPr>
          <w:rFonts w:ascii="Times New Roman" w:hAnsi="Times New Roman"/>
          <w:i/>
          <w:sz w:val="20"/>
          <w:szCs w:val="20"/>
        </w:rPr>
        <w:t>total number of NZ coefficients reported in Part 1</w:t>
      </w:r>
      <w:r>
        <w:rPr>
          <w:rFonts w:ascii="Times New Roman" w:hAnsi="Times New Roman"/>
          <w:i/>
          <w:sz w:val="20"/>
          <w:szCs w:val="20"/>
          <w:lang w:val="en-GB"/>
        </w:rPr>
        <w:t xml:space="preserve"> equals to Rank*K1*Mv.</w:t>
      </w:r>
    </w:p>
    <w:p>
      <w:pPr>
        <w:snapToGrid w:val="0"/>
        <w:spacing w:before="180" w:beforeLines="50" w:after="180" w:afterLines="50" w:line="240" w:lineRule="auto"/>
        <w:ind w:right="220" w:rightChars="100"/>
        <w:jc w:val="both"/>
        <w:rPr>
          <w:rFonts w:ascii="Times New Roman" w:hAnsi="Times New Roman"/>
          <w:sz w:val="20"/>
          <w:szCs w:val="20"/>
          <w:lang w:val="en-GB"/>
        </w:rPr>
      </w:pPr>
      <w:r>
        <w:rPr>
          <w:rFonts w:ascii="Times New Roman" w:hAnsi="Times New Roman"/>
          <w:b/>
          <w:i/>
          <w:sz w:val="20"/>
          <w:szCs w:val="20"/>
        </w:rPr>
        <w:t xml:space="preserve">Proposal </w:t>
      </w:r>
      <w:r>
        <w:rPr>
          <w:rFonts w:hint="eastAsia" w:ascii="Times New Roman" w:hAnsi="Times New Roman"/>
          <w:b/>
          <w:i/>
          <w:sz w:val="20"/>
          <w:szCs w:val="20"/>
        </w:rPr>
        <w:t>13</w:t>
      </w:r>
      <w:r>
        <w:rPr>
          <w:rFonts w:ascii="Times New Roman" w:hAnsi="Times New Roman"/>
          <w:b/>
          <w:i/>
          <w:sz w:val="20"/>
          <w:szCs w:val="20"/>
        </w:rPr>
        <w:t xml:space="preserve">: </w:t>
      </w:r>
      <w:r>
        <w:rPr>
          <w:rFonts w:ascii="Times New Roman" w:hAnsi="Times New Roman"/>
          <w:i/>
          <w:sz w:val="20"/>
          <w:szCs w:val="20"/>
        </w:rPr>
        <w:t xml:space="preserve">On Rank 3 and 4 for Rel-17 PS codebook, use a smaller beta value for Rank 3 and 4 compared with beta value configured for Rank 1 and 2, e.g., </w:t>
      </w:r>
      <m:oMath>
        <m:sSub>
          <m:sSubPr>
            <m:ctrlPr>
              <w:rPr>
                <w:rFonts w:ascii="Cambria Math" w:hAnsi="Cambria Math"/>
                <w:i/>
                <w:sz w:val="20"/>
                <w:szCs w:val="20"/>
              </w:rPr>
            </m:ctrlPr>
          </m:sSubPr>
          <m:e>
            <m:r>
              <w:rPr>
                <w:rFonts w:ascii="Cambria Math" w:hAnsi="Cambria Math"/>
                <w:sz w:val="20"/>
                <w:szCs w:val="20"/>
              </w:rPr>
              <m:t>β</m:t>
            </m:r>
            <m:ctrlPr>
              <w:rPr>
                <w:rFonts w:ascii="Cambria Math" w:hAnsi="Cambria Math"/>
                <w:i/>
                <w:sz w:val="20"/>
                <w:szCs w:val="20"/>
              </w:rPr>
            </m:ctrlPr>
          </m:e>
          <m:sub>
            <m:r>
              <w:rPr>
                <w:rFonts w:ascii="Cambria Math" w:hAnsi="Cambria Math"/>
                <w:sz w:val="20"/>
                <w:szCs w:val="20"/>
              </w:rPr>
              <m:t>3,4</m:t>
            </m:r>
            <m:ctrlPr>
              <w:rPr>
                <w:rFonts w:ascii="Cambria Math" w:hAnsi="Cambria Math"/>
                <w:i/>
                <w:sz w:val="20"/>
                <w:szCs w:val="20"/>
              </w:rPr>
            </m:ctrlPr>
          </m:sub>
        </m:sSub>
        <m:r>
          <w:rPr>
            <w:rFonts w:ascii="Cambria Math" w:hAnsi="Cambria Math"/>
            <w:sz w:val="20"/>
            <w:szCs w:val="20"/>
          </w:rPr>
          <m:t>=</m:t>
        </m:r>
        <m:sSub>
          <m:sSubPr>
            <m:ctrlPr>
              <w:rPr>
                <w:rFonts w:ascii="Cambria Math" w:hAnsi="Cambria Math"/>
                <w:i/>
                <w:sz w:val="20"/>
                <w:szCs w:val="20"/>
              </w:rPr>
            </m:ctrlPr>
          </m:sSubPr>
          <m:e>
            <m:f>
              <m:fPr>
                <m:ctrlPr>
                  <w:rPr>
                    <w:rFonts w:ascii="Cambria Math" w:hAnsi="Cambria Math"/>
                    <w:i/>
                    <w:sz w:val="20"/>
                    <w:szCs w:val="20"/>
                  </w:rPr>
                </m:ctrlPr>
              </m:fPr>
              <m:num>
                <m:r>
                  <w:rPr>
                    <w:rFonts w:ascii="Cambria Math" w:hAnsi="Cambria Math"/>
                    <w:sz w:val="20"/>
                    <w:szCs w:val="20"/>
                  </w:rPr>
                  <m:t>1</m:t>
                </m:r>
                <m:ctrlPr>
                  <w:rPr>
                    <w:rFonts w:ascii="Cambria Math" w:hAnsi="Cambria Math"/>
                    <w:i/>
                    <w:sz w:val="20"/>
                    <w:szCs w:val="20"/>
                  </w:rPr>
                </m:ctrlPr>
              </m:num>
              <m:den>
                <m:r>
                  <w:rPr>
                    <w:rFonts w:ascii="Cambria Math" w:hAnsi="Cambria Math"/>
                    <w:sz w:val="20"/>
                    <w:szCs w:val="20"/>
                  </w:rPr>
                  <m:t>2</m:t>
                </m:r>
                <m:ctrlPr>
                  <w:rPr>
                    <w:rFonts w:ascii="Cambria Math" w:hAnsi="Cambria Math"/>
                    <w:i/>
                    <w:sz w:val="20"/>
                    <w:szCs w:val="20"/>
                  </w:rPr>
                </m:ctrlPr>
              </m:den>
            </m:f>
            <m:r>
              <w:rPr>
                <w:rFonts w:ascii="Cambria Math" w:hAnsi="Cambria Math"/>
                <w:sz w:val="20"/>
                <w:szCs w:val="20"/>
              </w:rPr>
              <m:t>β</m:t>
            </m:r>
            <m:ctrlPr>
              <w:rPr>
                <w:rFonts w:ascii="Cambria Math" w:hAnsi="Cambria Math"/>
                <w:i/>
                <w:sz w:val="20"/>
                <w:szCs w:val="20"/>
              </w:rPr>
            </m:ctrlPr>
          </m:e>
          <m:sub>
            <m:r>
              <w:rPr>
                <w:rFonts w:ascii="Cambria Math" w:hAnsi="Cambria Math"/>
                <w:sz w:val="20"/>
                <w:szCs w:val="20"/>
              </w:rPr>
              <m:t>1,2</m:t>
            </m:r>
            <m:ctrlPr>
              <w:rPr>
                <w:rFonts w:ascii="Cambria Math" w:hAnsi="Cambria Math"/>
                <w:i/>
                <w:sz w:val="20"/>
                <w:szCs w:val="20"/>
              </w:rPr>
            </m:ctrlPr>
          </m:sub>
        </m:sSub>
      </m:oMath>
      <w:r>
        <w:rPr>
          <w:rFonts w:hint="eastAsia" w:ascii="Times New Roman" w:hAnsi="Times New Roman"/>
          <w:i/>
          <w:sz w:val="20"/>
          <w:szCs w:val="20"/>
        </w:rPr>
        <w:t>.</w:t>
      </w:r>
    </w:p>
    <w:p>
      <w:pPr>
        <w:pStyle w:val="2"/>
        <w:snapToGrid w:val="0"/>
        <w:spacing w:before="180" w:beforeLines="50" w:after="180" w:afterLines="50"/>
        <w:ind w:left="431" w:hanging="431"/>
        <w:rPr>
          <w:sz w:val="28"/>
          <w:lang w:val="en-US"/>
        </w:rPr>
      </w:pPr>
      <w:r>
        <w:rPr>
          <w:sz w:val="28"/>
          <w:lang w:val="en-US"/>
        </w:rPr>
        <w:t>References</w:t>
      </w:r>
    </w:p>
    <w:bookmarkEnd w:id="6"/>
    <w:bookmarkEnd w:id="7"/>
    <w:p>
      <w:pPr>
        <w:pStyle w:val="89"/>
        <w:numPr>
          <w:ilvl w:val="0"/>
          <w:numId w:val="16"/>
        </w:numPr>
        <w:snapToGrid w:val="0"/>
        <w:rPr>
          <w:sz w:val="20"/>
          <w:szCs w:val="20"/>
          <w:lang w:val="en-GB"/>
        </w:rPr>
      </w:pPr>
      <w:r>
        <w:rPr>
          <w:sz w:val="20"/>
          <w:szCs w:val="20"/>
          <w:lang w:val="en-GB"/>
        </w:rPr>
        <w:t>Chair Notes, 3GPP TSG RAN WG1 Meeting #10</w:t>
      </w:r>
      <w:r>
        <w:rPr>
          <w:rFonts w:hint="eastAsia"/>
          <w:sz w:val="20"/>
          <w:szCs w:val="20"/>
        </w:rPr>
        <w:t>6</w:t>
      </w:r>
      <w:r>
        <w:rPr>
          <w:sz w:val="20"/>
          <w:szCs w:val="20"/>
          <w:lang w:val="en-GB"/>
        </w:rPr>
        <w:t xml:space="preserve">-e, </w:t>
      </w:r>
      <w:r>
        <w:rPr>
          <w:rFonts w:hint="eastAsia"/>
          <w:sz w:val="20"/>
          <w:szCs w:val="20"/>
        </w:rPr>
        <w:t>September</w:t>
      </w:r>
      <w:r>
        <w:rPr>
          <w:rFonts w:hint="eastAsia"/>
          <w:sz w:val="20"/>
          <w:szCs w:val="20"/>
          <w:lang w:val="en-GB"/>
        </w:rPr>
        <w:t xml:space="preserve"> </w:t>
      </w:r>
      <w:r>
        <w:rPr>
          <w:sz w:val="20"/>
          <w:szCs w:val="20"/>
          <w:lang w:val="en-GB"/>
        </w:rPr>
        <w:t>202</w:t>
      </w:r>
      <w:r>
        <w:rPr>
          <w:rFonts w:hint="eastAsia"/>
          <w:sz w:val="20"/>
          <w:szCs w:val="20"/>
        </w:rPr>
        <w:t>1</w:t>
      </w:r>
      <w:r>
        <w:rPr>
          <w:sz w:val="20"/>
          <w:szCs w:val="20"/>
          <w:lang w:val="en-GB"/>
        </w:rPr>
        <w:t xml:space="preserve"> </w:t>
      </w:r>
      <w:r>
        <w:rPr>
          <w:rFonts w:hint="eastAsia"/>
          <w:sz w:val="20"/>
          <w:szCs w:val="20"/>
        </w:rPr>
        <w:t xml:space="preserve"> </w:t>
      </w:r>
    </w:p>
    <w:p>
      <w:pPr>
        <w:pStyle w:val="89"/>
        <w:numPr>
          <w:ilvl w:val="0"/>
          <w:numId w:val="16"/>
        </w:numPr>
        <w:snapToGrid w:val="0"/>
        <w:rPr>
          <w:sz w:val="20"/>
          <w:szCs w:val="20"/>
          <w:lang w:val="en-GB"/>
        </w:rPr>
      </w:pPr>
      <w:r>
        <w:rPr>
          <w:rFonts w:hint="eastAsia"/>
          <w:sz w:val="20"/>
          <w:szCs w:val="20"/>
        </w:rPr>
        <w:t>36.213, Physical layer procedures (Release 15), fc0</w:t>
      </w:r>
    </w:p>
    <w:p>
      <w:pPr>
        <w:pStyle w:val="2"/>
        <w:snapToGrid w:val="0"/>
        <w:spacing w:before="360" w:beforeLines="100" w:after="180" w:afterLines="50"/>
        <w:ind w:left="431" w:hanging="431"/>
        <w:rPr>
          <w:lang w:val="en-US"/>
        </w:rPr>
      </w:pPr>
      <w:r>
        <w:rPr>
          <w:lang w:val="en-US"/>
        </w:rPr>
        <w:t>Appendix</w:t>
      </w:r>
    </w:p>
    <w:p>
      <w:pPr>
        <w:rPr>
          <w:rFonts w:ascii="Times New Roman" w:hAnsi="Times New Roman" w:eastAsia="MS Mincho"/>
          <w:sz w:val="20"/>
          <w:szCs w:val="20"/>
        </w:rPr>
      </w:pPr>
      <w:r>
        <w:rPr>
          <w:rFonts w:ascii="Times New Roman" w:hAnsi="Times New Roman" w:eastAsia="MS Mincho"/>
          <w:sz w:val="20"/>
          <w:szCs w:val="20"/>
        </w:rPr>
        <w:t xml:space="preserve">TS </w:t>
      </w:r>
      <w:r>
        <w:rPr>
          <w:rFonts w:hint="eastAsia" w:ascii="Times New Roman" w:hAnsi="Times New Roman" w:eastAsia="MS Mincho"/>
          <w:sz w:val="20"/>
          <w:szCs w:val="20"/>
        </w:rPr>
        <w:t>36.213 section 7.2.3 [2]</w:t>
      </w:r>
    </w:p>
    <w:p>
      <w:pPr>
        <w:rPr>
          <w:rFonts w:ascii="Times New Roman" w:hAnsi="Times New Roman" w:eastAsia="MS Mincho"/>
          <w:sz w:val="20"/>
          <w:szCs w:val="20"/>
        </w:rPr>
      </w:pPr>
      <w:r>
        <w:rPr>
          <w:rFonts w:hint="eastAsia" w:ascii="Times New Roman" w:hAnsi="Times New Roman" w:eastAsia="MS Mincho"/>
          <w:sz w:val="20"/>
          <w:szCs w:val="20"/>
        </w:rPr>
        <w:t>-----------------------------------------------------------</w:t>
      </w:r>
    </w:p>
    <w:p>
      <w:pPr>
        <w:pStyle w:val="82"/>
        <w:ind w:left="851" w:firstLine="0"/>
        <w:rPr>
          <w:i/>
        </w:rPr>
      </w:pPr>
      <w:r>
        <w:t xml:space="preserve">otherwise if the UE is not configured with higher layer parameter </w:t>
      </w:r>
      <w:r>
        <w:rPr>
          <w:i/>
        </w:rPr>
        <w:t>FeCoMPCSIEnabled</w:t>
      </w:r>
      <w:r>
        <w:t xml:space="preserve"> or the UE is configured with higher layer parameter </w:t>
      </w:r>
      <w:r>
        <w:rPr>
          <w:i/>
        </w:rPr>
        <w:t>FeCoMPCSIEnabled</w:t>
      </w:r>
      <w:r>
        <w:t xml:space="preserve"> and UE reports </w:t>
      </w:r>
      <w:r>
        <w:rPr>
          <w:i/>
        </w:rPr>
        <w:t>CRI</w:t>
      </w:r>
      <w:r>
        <w:t xml:space="preserve"> with value of 0 or 1,</w:t>
      </w:r>
    </w:p>
    <w:p>
      <w:pPr>
        <w:pStyle w:val="101"/>
        <w:ind w:left="1280" w:hanging="400"/>
        <w:rPr>
          <w:rFonts w:ascii="Times New Roman" w:hAnsi="Times New Roman"/>
          <w:sz w:val="20"/>
          <w:szCs w:val="20"/>
        </w:rPr>
      </w:pPr>
      <w:r>
        <w:rPr>
          <w:rFonts w:ascii="Times New Roman" w:hAnsi="Times New Roman"/>
          <w:sz w:val="20"/>
          <w:szCs w:val="20"/>
        </w:rPr>
        <w:drawing>
          <wp:inline distT="0" distB="0" distL="114300" distR="114300">
            <wp:extent cx="1733550" cy="735965"/>
            <wp:effectExtent l="0" t="0" r="0" b="6350"/>
            <wp:docPr id="2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5"/>
                    <pic:cNvPicPr>
                      <a:picLocks noChangeAspect="1"/>
                    </pic:cNvPicPr>
                  </pic:nvPicPr>
                  <pic:blipFill>
                    <a:blip r:embed="rId12"/>
                    <a:stretch>
                      <a:fillRect/>
                    </a:stretch>
                  </pic:blipFill>
                  <pic:spPr>
                    <a:xfrm>
                      <a:off x="0" y="0"/>
                      <a:ext cx="1733550" cy="735965"/>
                    </a:xfrm>
                    <a:prstGeom prst="rect">
                      <a:avLst/>
                    </a:prstGeom>
                    <a:noFill/>
                    <a:ln>
                      <a:noFill/>
                    </a:ln>
                  </pic:spPr>
                </pic:pic>
              </a:graphicData>
            </a:graphic>
          </wp:inline>
        </w:drawing>
      </w:r>
      <w:r>
        <w:rPr>
          <w:rFonts w:ascii="Times New Roman" w:hAnsi="Times New Roman"/>
          <w:sz w:val="20"/>
          <w:szCs w:val="20"/>
        </w:rPr>
        <w:t xml:space="preserve">, </w:t>
      </w:r>
    </w:p>
    <w:p>
      <w:pPr>
        <w:pStyle w:val="81"/>
        <w:ind w:firstLine="0"/>
      </w:pPr>
      <w:r>
        <w:t xml:space="preserve">where </w:t>
      </w:r>
      <w:r>
        <w:rPr>
          <w:position w:val="-10"/>
          <w:lang w:val="en-US" w:eastAsia="zh-CN"/>
        </w:rPr>
        <w:drawing>
          <wp:inline distT="0" distB="0" distL="114300" distR="114300">
            <wp:extent cx="1555750" cy="273050"/>
            <wp:effectExtent l="0" t="0" r="6350" b="1333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13"/>
                    <a:stretch>
                      <a:fillRect/>
                    </a:stretch>
                  </pic:blipFill>
                  <pic:spPr>
                    <a:xfrm>
                      <a:off x="0" y="0"/>
                      <a:ext cx="1555750" cy="273050"/>
                    </a:xfrm>
                    <a:prstGeom prst="rect">
                      <a:avLst/>
                    </a:prstGeom>
                    <a:noFill/>
                    <a:ln>
                      <a:noFill/>
                    </a:ln>
                  </pic:spPr>
                </pic:pic>
              </a:graphicData>
            </a:graphic>
          </wp:inline>
        </w:drawing>
      </w:r>
      <w:r>
        <w:t xml:space="preserve"> is a vector of symbols from the layer mapping in Subclause 6.3.3.2 of [3], </w:t>
      </w:r>
      <w:r>
        <w:rPr>
          <w:position w:val="-10"/>
          <w:lang w:val="en-US" w:eastAsia="zh-CN"/>
        </w:rPr>
        <w:drawing>
          <wp:inline distT="0" distB="0" distL="114300" distR="114300">
            <wp:extent cx="1650365" cy="178435"/>
            <wp:effectExtent l="0" t="0" r="0" b="13335"/>
            <wp:docPr id="2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7"/>
                    <pic:cNvPicPr>
                      <a:picLocks noChangeAspect="1"/>
                    </pic:cNvPicPr>
                  </pic:nvPicPr>
                  <pic:blipFill>
                    <a:blip r:embed="rId14"/>
                    <a:stretch>
                      <a:fillRect/>
                    </a:stretch>
                  </pic:blipFill>
                  <pic:spPr>
                    <a:xfrm>
                      <a:off x="0" y="0"/>
                      <a:ext cx="1650365" cy="178435"/>
                    </a:xfrm>
                    <a:prstGeom prst="rect">
                      <a:avLst/>
                    </a:prstGeom>
                    <a:noFill/>
                    <a:ln>
                      <a:noFill/>
                    </a:ln>
                  </pic:spPr>
                </pic:pic>
              </a:graphicData>
            </a:graphic>
          </wp:inline>
        </w:drawing>
      </w:r>
      <w:r>
        <w:t xml:space="preserve"> is the number of</w:t>
      </w:r>
      <w:r>
        <w:rPr>
          <w:rFonts w:eastAsia="宋体"/>
          <w:lang w:eastAsia="zh-CN"/>
        </w:rPr>
        <w:t xml:space="preserve"> antenna ports of the associated</w:t>
      </w:r>
      <w:r>
        <w:t xml:space="preserve"> CSI-RS </w:t>
      </w:r>
      <w:r>
        <w:rPr>
          <w:rFonts w:eastAsia="宋体"/>
          <w:lang w:eastAsia="zh-CN"/>
        </w:rPr>
        <w:t>resource</w:t>
      </w:r>
      <w:r>
        <w:t xml:space="preserve">, and if </w:t>
      </w:r>
      <w:r>
        <w:rPr>
          <w:rFonts w:eastAsia="宋体"/>
          <w:i/>
          <w:lang w:eastAsia="zh-CN"/>
        </w:rPr>
        <w:t>P</w:t>
      </w:r>
      <w:r>
        <w:rPr>
          <w:rFonts w:eastAsia="宋体"/>
          <w:lang w:eastAsia="zh-CN"/>
        </w:rPr>
        <w:t>=1,</w:t>
      </w:r>
      <w:r>
        <w:rPr>
          <w:position w:val="-10"/>
          <w:lang w:val="en-US" w:eastAsia="zh-CN"/>
        </w:rPr>
        <w:drawing>
          <wp:inline distT="0" distB="0" distL="114300" distR="114300">
            <wp:extent cx="356235" cy="178435"/>
            <wp:effectExtent l="0" t="0" r="0" b="12700"/>
            <wp:docPr id="3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8"/>
                    <pic:cNvPicPr>
                      <a:picLocks noChangeAspect="1"/>
                    </pic:cNvPicPr>
                  </pic:nvPicPr>
                  <pic:blipFill>
                    <a:blip r:embed="rId15"/>
                    <a:stretch>
                      <a:fillRect/>
                    </a:stretch>
                  </pic:blipFill>
                  <pic:spPr>
                    <a:xfrm>
                      <a:off x="0" y="0"/>
                      <a:ext cx="356235" cy="178435"/>
                    </a:xfrm>
                    <a:prstGeom prst="rect">
                      <a:avLst/>
                    </a:prstGeom>
                    <a:noFill/>
                    <a:ln>
                      <a:noFill/>
                    </a:ln>
                  </pic:spPr>
                </pic:pic>
              </a:graphicData>
            </a:graphic>
          </wp:inline>
        </w:drawing>
      </w:r>
      <w:r>
        <w:t xml:space="preserve">is 1, </w:t>
      </w:r>
      <w:r>
        <w:rPr>
          <w:rFonts w:eastAsia="宋体"/>
          <w:lang w:eastAsia="zh-CN"/>
        </w:rPr>
        <w:t>otherwise</w:t>
      </w:r>
      <w:r>
        <w:t xml:space="preserve"> for UE configured for PMI/RI reporting</w:t>
      </w:r>
      <w:r>
        <w:rPr>
          <w:rFonts w:eastAsia="宋体"/>
          <w:lang w:eastAsia="zh-CN"/>
        </w:rPr>
        <w:t xml:space="preserve"> </w:t>
      </w:r>
      <w:r>
        <w:rPr>
          <w:position w:val="-10"/>
          <w:lang w:val="en-US" w:eastAsia="zh-CN"/>
        </w:rPr>
        <w:drawing>
          <wp:inline distT="0" distB="0" distL="114300" distR="114300">
            <wp:extent cx="356235" cy="178435"/>
            <wp:effectExtent l="0" t="0" r="0" b="12700"/>
            <wp:docPr id="24"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9"/>
                    <pic:cNvPicPr>
                      <a:picLocks noChangeAspect="1"/>
                    </pic:cNvPicPr>
                  </pic:nvPicPr>
                  <pic:blipFill>
                    <a:blip r:embed="rId16"/>
                    <a:stretch>
                      <a:fillRect/>
                    </a:stretch>
                  </pic:blipFill>
                  <pic:spPr>
                    <a:xfrm>
                      <a:off x="0" y="0"/>
                      <a:ext cx="356235" cy="178435"/>
                    </a:xfrm>
                    <a:prstGeom prst="rect">
                      <a:avLst/>
                    </a:prstGeom>
                    <a:noFill/>
                    <a:ln>
                      <a:noFill/>
                    </a:ln>
                  </pic:spPr>
                </pic:pic>
              </a:graphicData>
            </a:graphic>
          </wp:inline>
        </w:drawing>
      </w:r>
      <w:r>
        <w:t xml:space="preserve">is the precoding matrix corresponding to the reported PMI applicable to </w:t>
      </w:r>
      <w:r>
        <w:rPr>
          <w:position w:val="-10"/>
          <w:lang w:val="en-US" w:eastAsia="zh-CN"/>
        </w:rPr>
        <w:drawing>
          <wp:inline distT="0" distB="0" distL="114300" distR="114300">
            <wp:extent cx="273050" cy="178435"/>
            <wp:effectExtent l="0" t="0" r="0" b="12700"/>
            <wp:docPr id="27"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0"/>
                    <pic:cNvPicPr>
                      <a:picLocks noChangeAspect="1"/>
                    </pic:cNvPicPr>
                  </pic:nvPicPr>
                  <pic:blipFill>
                    <a:blip r:embed="rId17"/>
                    <a:stretch>
                      <a:fillRect/>
                    </a:stretch>
                  </pic:blipFill>
                  <pic:spPr>
                    <a:xfrm>
                      <a:off x="0" y="0"/>
                      <a:ext cx="273050" cy="178435"/>
                    </a:xfrm>
                    <a:prstGeom prst="rect">
                      <a:avLst/>
                    </a:prstGeom>
                    <a:noFill/>
                    <a:ln>
                      <a:noFill/>
                    </a:ln>
                  </pic:spPr>
                </pic:pic>
              </a:graphicData>
            </a:graphic>
          </wp:inline>
        </w:drawing>
      </w:r>
      <w:r>
        <w:t xml:space="preserve"> and for UE configured without PMI reporting </w:t>
      </w:r>
      <w:r>
        <w:rPr>
          <w:position w:val="-10"/>
          <w:lang w:val="en-US" w:eastAsia="zh-CN"/>
        </w:rPr>
        <w:drawing>
          <wp:inline distT="0" distB="0" distL="114300" distR="114300">
            <wp:extent cx="356235" cy="178435"/>
            <wp:effectExtent l="0" t="0" r="0" b="12700"/>
            <wp:docPr id="28"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1"/>
                    <pic:cNvPicPr>
                      <a:picLocks noChangeAspect="1"/>
                    </pic:cNvPicPr>
                  </pic:nvPicPr>
                  <pic:blipFill>
                    <a:blip r:embed="rId16"/>
                    <a:stretch>
                      <a:fillRect/>
                    </a:stretch>
                  </pic:blipFill>
                  <pic:spPr>
                    <a:xfrm>
                      <a:off x="0" y="0"/>
                      <a:ext cx="356235" cy="178435"/>
                    </a:xfrm>
                    <a:prstGeom prst="rect">
                      <a:avLst/>
                    </a:prstGeom>
                    <a:noFill/>
                    <a:ln>
                      <a:noFill/>
                    </a:ln>
                  </pic:spPr>
                </pic:pic>
              </a:graphicData>
            </a:graphic>
          </wp:inline>
        </w:drawing>
      </w:r>
      <w:r>
        <w:t xml:space="preserve">is the selected precoding matrix corresponding to the reported CQI applicable to </w:t>
      </w:r>
      <w:r>
        <w:rPr>
          <w:position w:val="-10"/>
          <w:lang w:val="en-US" w:eastAsia="zh-CN"/>
        </w:rPr>
        <w:drawing>
          <wp:inline distT="0" distB="0" distL="114300" distR="114300">
            <wp:extent cx="273050" cy="178435"/>
            <wp:effectExtent l="0" t="0" r="0" b="12700"/>
            <wp:docPr id="29"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2"/>
                    <pic:cNvPicPr>
                      <a:picLocks noChangeAspect="1"/>
                    </pic:cNvPicPr>
                  </pic:nvPicPr>
                  <pic:blipFill>
                    <a:blip r:embed="rId17"/>
                    <a:stretch>
                      <a:fillRect/>
                    </a:stretch>
                  </pic:blipFill>
                  <pic:spPr>
                    <a:xfrm>
                      <a:off x="0" y="0"/>
                      <a:ext cx="273050" cy="178435"/>
                    </a:xfrm>
                    <a:prstGeom prst="rect">
                      <a:avLst/>
                    </a:prstGeom>
                    <a:noFill/>
                    <a:ln>
                      <a:noFill/>
                    </a:ln>
                  </pic:spPr>
                </pic:pic>
              </a:graphicData>
            </a:graphic>
          </wp:inline>
        </w:drawing>
      </w:r>
      <w:r>
        <w:t xml:space="preserve">. The corresponding PDSCH signals transmitted on antenna ports </w:t>
      </w:r>
      <w:r>
        <w:rPr>
          <w:position w:val="-10"/>
          <w:lang w:val="en-US" w:eastAsia="zh-CN"/>
        </w:rPr>
        <w:drawing>
          <wp:inline distT="0" distB="0" distL="114300" distR="114300">
            <wp:extent cx="819150" cy="178435"/>
            <wp:effectExtent l="0" t="0" r="0" b="12700"/>
            <wp:docPr id="3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3"/>
                    <pic:cNvPicPr>
                      <a:picLocks noChangeAspect="1"/>
                    </pic:cNvPicPr>
                  </pic:nvPicPr>
                  <pic:blipFill>
                    <a:blip r:embed="rId18"/>
                    <a:stretch>
                      <a:fillRect/>
                    </a:stretch>
                  </pic:blipFill>
                  <pic:spPr>
                    <a:xfrm>
                      <a:off x="0" y="0"/>
                      <a:ext cx="819150" cy="178435"/>
                    </a:xfrm>
                    <a:prstGeom prst="rect">
                      <a:avLst/>
                    </a:prstGeom>
                    <a:noFill/>
                    <a:ln>
                      <a:noFill/>
                    </a:ln>
                  </pic:spPr>
                </pic:pic>
              </a:graphicData>
            </a:graphic>
          </wp:inline>
        </w:drawing>
      </w:r>
      <w:r>
        <w:t xml:space="preserve"> would have a ratio of EPRE to CSI-RS EPRE equal to the ratio given in Subclause 7.2.5, </w:t>
      </w:r>
    </w:p>
    <w:p>
      <w:pPr>
        <w:ind w:left="864"/>
        <w:rPr>
          <w:rFonts w:ascii="Times New Roman" w:hAnsi="Times New Roman"/>
          <w:sz w:val="20"/>
          <w:szCs w:val="20"/>
        </w:rPr>
      </w:pPr>
      <w:r>
        <w:rPr>
          <w:rFonts w:ascii="Times New Roman" w:hAnsi="Times New Roman"/>
          <w:sz w:val="20"/>
          <w:szCs w:val="20"/>
        </w:rPr>
        <w:t xml:space="preserve">otherwise if the UE is configured with higher layer parameter </w:t>
      </w:r>
      <w:r>
        <w:rPr>
          <w:rFonts w:ascii="Times New Roman" w:hAnsi="Times New Roman"/>
          <w:i/>
          <w:sz w:val="20"/>
          <w:szCs w:val="20"/>
        </w:rPr>
        <w:t>FeCoMPCSIEnabled</w:t>
      </w:r>
      <w:r>
        <w:rPr>
          <w:rFonts w:ascii="Times New Roman" w:hAnsi="Times New Roman"/>
          <w:sz w:val="20"/>
          <w:szCs w:val="20"/>
        </w:rPr>
        <w:t xml:space="preserve"> and UE reports </w:t>
      </w:r>
      <w:r>
        <w:rPr>
          <w:rFonts w:ascii="Times New Roman" w:hAnsi="Times New Roman"/>
          <w:i/>
          <w:sz w:val="20"/>
          <w:szCs w:val="20"/>
        </w:rPr>
        <w:t>CRI</w:t>
      </w:r>
      <w:r>
        <w:rPr>
          <w:rFonts w:ascii="Times New Roman" w:hAnsi="Times New Roman"/>
          <w:sz w:val="20"/>
          <w:szCs w:val="20"/>
        </w:rPr>
        <w:t xml:space="preserve">=2 then the PDSCH signals on antenna ports </w:t>
      </w:r>
      <w:r>
        <w:rPr>
          <w:rFonts w:ascii="Times New Roman" w:hAnsi="Times New Roman" w:eastAsia="宋体"/>
          <w:sz w:val="20"/>
          <w:szCs w:val="20"/>
        </w:rPr>
        <w:t xml:space="preserve">corresponding to </w:t>
      </w:r>
      <w:r>
        <w:rPr>
          <w:rFonts w:ascii="Times New Roman" w:hAnsi="Times New Roman" w:eastAsia="宋体"/>
          <w:position w:val="-12"/>
          <w:sz w:val="20"/>
          <w:szCs w:val="20"/>
        </w:rPr>
        <w:drawing>
          <wp:inline distT="0" distB="0" distL="114300" distR="114300">
            <wp:extent cx="178435" cy="273050"/>
            <wp:effectExtent l="0" t="0" r="12065" b="15240"/>
            <wp:docPr id="3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4"/>
                    <pic:cNvPicPr>
                      <a:picLocks noChangeAspect="1"/>
                    </pic:cNvPicPr>
                  </pic:nvPicPr>
                  <pic:blipFill>
                    <a:blip r:embed="rId19"/>
                    <a:stretch>
                      <a:fillRect/>
                    </a:stretch>
                  </pic:blipFill>
                  <pic:spPr>
                    <a:xfrm>
                      <a:off x="0" y="0"/>
                      <a:ext cx="178435" cy="273050"/>
                    </a:xfrm>
                    <a:prstGeom prst="rect">
                      <a:avLst/>
                    </a:prstGeom>
                    <a:noFill/>
                    <a:ln>
                      <a:noFill/>
                    </a:ln>
                  </pic:spPr>
                </pic:pic>
              </a:graphicData>
            </a:graphic>
          </wp:inline>
        </w:drawing>
      </w:r>
      <w:r>
        <w:rPr>
          <w:rFonts w:ascii="Times New Roman" w:hAnsi="Times New Roman" w:eastAsia="宋体"/>
          <w:sz w:val="20"/>
          <w:szCs w:val="20"/>
        </w:rPr>
        <w:t xml:space="preserve">layers </w:t>
      </w:r>
      <w:r>
        <w:rPr>
          <w:rFonts w:ascii="Times New Roman" w:hAnsi="Times New Roman"/>
          <w:sz w:val="20"/>
          <w:szCs w:val="20"/>
        </w:rPr>
        <w:t xml:space="preserve">of codeword </w:t>
      </w:r>
      <w:r>
        <w:rPr>
          <w:rFonts w:ascii="Times New Roman" w:hAnsi="Times New Roman"/>
          <w:i/>
          <w:sz w:val="20"/>
          <w:szCs w:val="20"/>
        </w:rPr>
        <w:t>k</w:t>
      </w:r>
      <w:r>
        <w:rPr>
          <w:rFonts w:ascii="Times New Roman" w:hAnsi="Times New Roman" w:eastAsia="宋体"/>
          <w:sz w:val="20"/>
          <w:szCs w:val="20"/>
        </w:rPr>
        <w:t xml:space="preserve"> would result in signals equivalent to corresponding symbols transmitted on antenna ports </w:t>
      </w:r>
      <w:r>
        <w:rPr>
          <w:rFonts w:ascii="Times New Roman" w:hAnsi="Times New Roman" w:eastAsia="宋体"/>
          <w:position w:val="-12"/>
          <w:sz w:val="20"/>
          <w:szCs w:val="20"/>
        </w:rPr>
        <w:drawing>
          <wp:inline distT="0" distB="0" distL="114300" distR="114300">
            <wp:extent cx="914400" cy="273050"/>
            <wp:effectExtent l="0" t="0" r="0" b="13335"/>
            <wp:docPr id="40"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5"/>
                    <pic:cNvPicPr>
                      <a:picLocks noChangeAspect="1"/>
                    </pic:cNvPicPr>
                  </pic:nvPicPr>
                  <pic:blipFill>
                    <a:blip r:embed="rId20"/>
                    <a:stretch>
                      <a:fillRect/>
                    </a:stretch>
                  </pic:blipFill>
                  <pic:spPr>
                    <a:xfrm>
                      <a:off x="0" y="0"/>
                      <a:ext cx="914400" cy="273050"/>
                    </a:xfrm>
                    <a:prstGeom prst="rect">
                      <a:avLst/>
                    </a:prstGeom>
                    <a:noFill/>
                    <a:ln>
                      <a:noFill/>
                    </a:ln>
                  </pic:spPr>
                </pic:pic>
              </a:graphicData>
            </a:graphic>
          </wp:inline>
        </w:drawing>
      </w:r>
      <w:r>
        <w:rPr>
          <w:rFonts w:ascii="Times New Roman" w:hAnsi="Times New Roman"/>
          <w:sz w:val="20"/>
          <w:szCs w:val="20"/>
        </w:rPr>
        <w:t xml:space="preserve"> corresponding to the (</w:t>
      </w:r>
      <w:r>
        <w:rPr>
          <w:rFonts w:ascii="Times New Roman" w:hAnsi="Times New Roman"/>
          <w:i/>
          <w:sz w:val="20"/>
          <w:szCs w:val="20"/>
        </w:rPr>
        <w:t>k</w:t>
      </w:r>
      <w:r>
        <w:rPr>
          <w:rFonts w:ascii="Times New Roman" w:hAnsi="Times New Roman"/>
          <w:sz w:val="20"/>
          <w:szCs w:val="20"/>
        </w:rPr>
        <w:t xml:space="preserve">+1)th CSI-RS resource, </w:t>
      </w:r>
      <w:r>
        <w:rPr>
          <w:rFonts w:ascii="Times New Roman" w:hAnsi="Times New Roman" w:eastAsia="宋体"/>
          <w:sz w:val="20"/>
          <w:szCs w:val="20"/>
        </w:rPr>
        <w:t xml:space="preserve">where </w:t>
      </w:r>
      <w:r>
        <w:rPr>
          <w:rFonts w:ascii="Times New Roman" w:hAnsi="Times New Roman"/>
          <w:position w:val="-12"/>
          <w:sz w:val="20"/>
          <w:szCs w:val="20"/>
        </w:rPr>
        <w:drawing>
          <wp:inline distT="0" distB="0" distL="114300" distR="114300">
            <wp:extent cx="914400" cy="273050"/>
            <wp:effectExtent l="0" t="0" r="0" b="1333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21"/>
                    <a:stretch>
                      <a:fillRect/>
                    </a:stretch>
                  </pic:blipFill>
                  <pic:spPr>
                    <a:xfrm>
                      <a:off x="0" y="0"/>
                      <a:ext cx="914400" cy="273050"/>
                    </a:xfrm>
                    <a:prstGeom prst="rect">
                      <a:avLst/>
                    </a:prstGeom>
                    <a:noFill/>
                    <a:ln>
                      <a:noFill/>
                    </a:ln>
                  </pic:spPr>
                </pic:pic>
              </a:graphicData>
            </a:graphic>
          </wp:inline>
        </w:drawing>
      </w:r>
      <w:r>
        <w:rPr>
          <w:rFonts w:ascii="Times New Roman" w:hAnsi="Times New Roman"/>
          <w:sz w:val="20"/>
          <w:szCs w:val="20"/>
        </w:rPr>
        <w:t xml:space="preserve"> are the number of antenna ports for the (</w:t>
      </w:r>
      <w:r>
        <w:rPr>
          <w:rFonts w:ascii="Times New Roman" w:hAnsi="Times New Roman"/>
          <w:i/>
          <w:sz w:val="20"/>
          <w:szCs w:val="20"/>
        </w:rPr>
        <w:t>k</w:t>
      </w:r>
      <w:r>
        <w:rPr>
          <w:rFonts w:ascii="Times New Roman" w:hAnsi="Times New Roman"/>
          <w:sz w:val="20"/>
          <w:szCs w:val="20"/>
        </w:rPr>
        <w:t>+1)th CSI-RS resource</w:t>
      </w:r>
      <w:r>
        <w:rPr>
          <w:rFonts w:ascii="Times New Roman" w:hAnsi="Times New Roman" w:eastAsia="宋体"/>
          <w:sz w:val="20"/>
          <w:szCs w:val="20"/>
        </w:rPr>
        <w:t>, as given by</w:t>
      </w:r>
    </w:p>
    <w:p>
      <w:pPr>
        <w:pStyle w:val="87"/>
        <w:rPr>
          <w:rFonts w:ascii="Times New Roman" w:hAnsi="Times New Roman"/>
          <w:sz w:val="20"/>
          <w:szCs w:val="20"/>
        </w:rPr>
      </w:pPr>
      <w:r>
        <w:rPr>
          <w:rFonts w:ascii="Times New Roman" w:hAnsi="Times New Roman"/>
          <w:iCs/>
          <w:sz w:val="20"/>
          <w:szCs w:val="20"/>
          <w:lang w:eastAsia="ja-JP"/>
        </w:rPr>
        <w:tab/>
      </w:r>
      <m:oMath>
        <m:d>
          <m:dPr>
            <m:begChr m:val="["/>
            <m:endChr m:val="]"/>
            <m:ctrlPr>
              <w:rPr>
                <w:rFonts w:ascii="Cambria Math" w:hAnsi="Cambria Math" w:eastAsia="MS Mincho"/>
                <w:iCs/>
                <w:lang w:eastAsia="ja-JP"/>
              </w:rPr>
            </m:ctrlPr>
          </m:dPr>
          <m:e>
            <m:m>
              <m:mPr>
                <m:mcs>
                  <m:mc>
                    <m:mcPr>
                      <m:count m:val="1"/>
                      <m:mcJc m:val="center"/>
                    </m:mcPr>
                  </m:mc>
                </m:mcs>
                <m:ctrlPr>
                  <w:rPr>
                    <w:rFonts w:ascii="Cambria Math" w:hAnsi="Cambria Math" w:eastAsia="MS Mincho"/>
                    <w:iCs/>
                    <w:lang w:eastAsia="ja-JP"/>
                  </w:rPr>
                </m:ctrlPr>
              </m:mPr>
              <m:mr>
                <m:e>
                  <m:sSubSup>
                    <m:sSubSupPr>
                      <m:ctrlPr>
                        <w:rPr>
                          <w:rFonts w:ascii="Cambria Math" w:hAnsi="Cambria Math" w:eastAsia="MS Mincho"/>
                          <w:iCs/>
                          <w:lang w:eastAsia="ja-JP"/>
                        </w:rPr>
                      </m:ctrlPr>
                    </m:sSubSupPr>
                    <m:e>
                      <m:r>
                        <w:rPr>
                          <w:rFonts w:ascii="Cambria Math" w:hAnsi="Cambria Math" w:eastAsia="MS Mincho"/>
                          <w:lang w:eastAsia="ja-JP"/>
                        </w:rPr>
                        <m:t>y</m:t>
                      </m:r>
                      <m:ctrlPr>
                        <w:rPr>
                          <w:rFonts w:ascii="Cambria Math" w:hAnsi="Cambria Math" w:eastAsia="MS Mincho"/>
                          <w:iCs/>
                          <w:lang w:eastAsia="ja-JP"/>
                        </w:rPr>
                      </m:ctrlPr>
                    </m:e>
                    <m:sub>
                      <m:r>
                        <w:rPr>
                          <w:rFonts w:ascii="Cambria Math" w:hAnsi="Cambria Math" w:eastAsia="MS Mincho"/>
                          <w:lang w:eastAsia="ja-JP"/>
                        </w:rPr>
                        <m:t>k</m:t>
                      </m:r>
                      <m:ctrlPr>
                        <w:rPr>
                          <w:rFonts w:ascii="Cambria Math" w:hAnsi="Cambria Math" w:eastAsia="MS Mincho"/>
                          <w:iCs/>
                          <w:lang w:eastAsia="ja-JP"/>
                        </w:rPr>
                      </m:ctrlPr>
                    </m:sub>
                    <m:sup>
                      <m:r>
                        <m:rPr>
                          <m:sty m:val="p"/>
                        </m:rPr>
                        <w:rPr>
                          <w:rFonts w:ascii="Cambria Math" w:hAnsi="Cambria Math" w:eastAsia="MS Mincho"/>
                          <w:lang w:eastAsia="ja-JP"/>
                        </w:rPr>
                        <m:t>(15)</m:t>
                      </m:r>
                      <m:ctrlPr>
                        <w:rPr>
                          <w:rFonts w:ascii="Cambria Math" w:hAnsi="Cambria Math" w:eastAsia="MS Mincho"/>
                          <w:iCs/>
                          <w:lang w:eastAsia="ja-JP"/>
                        </w:rPr>
                      </m:ctrlPr>
                    </m:sup>
                  </m:sSubSup>
                  <m:r>
                    <m:rPr>
                      <m:sty m:val="p"/>
                    </m:rPr>
                    <w:rPr>
                      <w:rFonts w:ascii="Cambria Math" w:hAnsi="Cambria Math" w:eastAsia="MS Mincho"/>
                      <w:lang w:eastAsia="ja-JP"/>
                    </w:rPr>
                    <m:t>(</m:t>
                  </m:r>
                  <m:r>
                    <w:rPr>
                      <w:rFonts w:ascii="Cambria Math" w:hAnsi="Cambria Math" w:eastAsia="MS Mincho"/>
                      <w:lang w:eastAsia="ja-JP"/>
                    </w:rPr>
                    <m:t>i</m:t>
                  </m:r>
                  <m:r>
                    <m:rPr>
                      <m:sty m:val="p"/>
                    </m:rPr>
                    <w:rPr>
                      <w:rFonts w:ascii="Cambria Math" w:hAnsi="Cambria Math" w:eastAsia="MS Mincho"/>
                      <w:lang w:eastAsia="ja-JP"/>
                    </w:rPr>
                    <m:t>)</m:t>
                  </m:r>
                  <m:ctrlPr>
                    <w:rPr>
                      <w:rFonts w:ascii="Cambria Math" w:hAnsi="Cambria Math" w:eastAsia="MS Mincho"/>
                      <w:iCs/>
                      <w:lang w:eastAsia="ja-JP"/>
                    </w:rPr>
                  </m:ctrlPr>
                </m:e>
              </m:mr>
              <m:mr>
                <m:e>
                  <m:r>
                    <m:rPr>
                      <m:sty m:val="p"/>
                    </m:rPr>
                    <w:rPr>
                      <w:rFonts w:hint="cs" w:ascii="Cambria Math" w:hAnsi="Cambria Math" w:eastAsia="MS Mincho" w:cs="Cambria Math"/>
                      <w:cs/>
                      <w:lang w:eastAsia="ja-JP" w:bidi="mr-IN"/>
                    </w:rPr>
                    <m:t>⋮</m:t>
                  </m:r>
                  <m:ctrlPr>
                    <w:rPr>
                      <w:rFonts w:ascii="Cambria Math" w:hAnsi="Cambria Math" w:eastAsia="MS Mincho"/>
                      <w:iCs/>
                      <w:lang w:eastAsia="ja-JP"/>
                    </w:rPr>
                  </m:ctrlPr>
                </m:e>
              </m:mr>
              <m:mr>
                <m:e>
                  <m:sSubSup>
                    <m:sSubSupPr>
                      <m:ctrlPr>
                        <w:rPr>
                          <w:rFonts w:ascii="Cambria Math" w:hAnsi="Cambria Math" w:eastAsia="MS Mincho"/>
                          <w:iCs/>
                          <w:lang w:eastAsia="ja-JP"/>
                        </w:rPr>
                      </m:ctrlPr>
                    </m:sSubSupPr>
                    <m:e>
                      <m:r>
                        <w:rPr>
                          <w:rFonts w:ascii="Cambria Math" w:hAnsi="Cambria Math" w:eastAsia="MS Mincho"/>
                          <w:lang w:eastAsia="ja-JP"/>
                        </w:rPr>
                        <m:t>y</m:t>
                      </m:r>
                      <m:ctrlPr>
                        <w:rPr>
                          <w:rFonts w:ascii="Cambria Math" w:hAnsi="Cambria Math" w:eastAsia="MS Mincho"/>
                          <w:iCs/>
                          <w:lang w:eastAsia="ja-JP"/>
                        </w:rPr>
                      </m:ctrlPr>
                    </m:e>
                    <m:sub>
                      <m:r>
                        <w:rPr>
                          <w:rFonts w:ascii="Cambria Math" w:hAnsi="Cambria Math" w:eastAsia="MS Mincho"/>
                          <w:lang w:eastAsia="ja-JP"/>
                        </w:rPr>
                        <m:t>k</m:t>
                      </m:r>
                      <m:ctrlPr>
                        <w:rPr>
                          <w:rFonts w:ascii="Cambria Math" w:hAnsi="Cambria Math" w:eastAsia="MS Mincho"/>
                          <w:iCs/>
                          <w:lang w:eastAsia="ja-JP"/>
                        </w:rPr>
                      </m:ctrlPr>
                    </m:sub>
                    <m:sup>
                      <m:r>
                        <m:rPr>
                          <m:sty m:val="p"/>
                        </m:rPr>
                        <w:rPr>
                          <w:rFonts w:ascii="Cambria Math" w:hAnsi="Cambria Math" w:eastAsia="MS Mincho"/>
                          <w:lang w:eastAsia="ja-JP"/>
                        </w:rPr>
                        <m:t>(14+</m:t>
                      </m:r>
                      <m:sSub>
                        <m:sSubPr>
                          <m:ctrlPr>
                            <w:rPr>
                              <w:rFonts w:ascii="Cambria Math" w:hAnsi="Cambria Math" w:eastAsia="MS Mincho"/>
                              <w:iCs/>
                              <w:lang w:eastAsia="ja-JP"/>
                            </w:rPr>
                          </m:ctrlPr>
                        </m:sSubPr>
                        <m:e>
                          <m:r>
                            <w:rPr>
                              <w:rFonts w:ascii="Cambria Math" w:hAnsi="Cambria Math" w:eastAsia="MS Mincho"/>
                              <w:lang w:eastAsia="ja-JP"/>
                            </w:rPr>
                            <m:t>P</m:t>
                          </m:r>
                          <m:ctrlPr>
                            <w:rPr>
                              <w:rFonts w:ascii="Cambria Math" w:hAnsi="Cambria Math" w:eastAsia="MS Mincho"/>
                              <w:iCs/>
                              <w:lang w:eastAsia="ja-JP"/>
                            </w:rPr>
                          </m:ctrlPr>
                        </m:e>
                        <m:sub>
                          <m:r>
                            <w:rPr>
                              <w:rFonts w:ascii="Cambria Math" w:hAnsi="Cambria Math" w:eastAsia="MS Mincho"/>
                              <w:lang w:eastAsia="ja-JP"/>
                            </w:rPr>
                            <m:t>k</m:t>
                          </m:r>
                          <m:ctrlPr>
                            <w:rPr>
                              <w:rFonts w:ascii="Cambria Math" w:hAnsi="Cambria Math" w:eastAsia="MS Mincho"/>
                              <w:iCs/>
                              <w:lang w:eastAsia="ja-JP"/>
                            </w:rPr>
                          </m:ctrlPr>
                        </m:sub>
                      </m:sSub>
                      <m:r>
                        <m:rPr>
                          <m:sty m:val="p"/>
                        </m:rPr>
                        <w:rPr>
                          <w:rFonts w:ascii="Cambria Math" w:hAnsi="Cambria Math" w:eastAsia="MS Mincho"/>
                          <w:lang w:eastAsia="ja-JP"/>
                        </w:rPr>
                        <m:t>)</m:t>
                      </m:r>
                      <m:ctrlPr>
                        <w:rPr>
                          <w:rFonts w:ascii="Cambria Math" w:hAnsi="Cambria Math" w:eastAsia="MS Mincho"/>
                          <w:iCs/>
                          <w:lang w:eastAsia="ja-JP"/>
                        </w:rPr>
                      </m:ctrlPr>
                    </m:sup>
                  </m:sSubSup>
                  <m:r>
                    <m:rPr>
                      <m:sty m:val="p"/>
                    </m:rPr>
                    <w:rPr>
                      <w:rFonts w:ascii="Cambria Math" w:hAnsi="Cambria Math" w:eastAsia="MS Mincho"/>
                      <w:lang w:eastAsia="ja-JP"/>
                    </w:rPr>
                    <m:t>(</m:t>
                  </m:r>
                  <m:r>
                    <w:rPr>
                      <w:rFonts w:ascii="Cambria Math" w:hAnsi="Cambria Math" w:eastAsia="MS Mincho"/>
                      <w:lang w:eastAsia="ja-JP"/>
                    </w:rPr>
                    <m:t>i</m:t>
                  </m:r>
                  <m:r>
                    <m:rPr>
                      <m:sty m:val="p"/>
                    </m:rPr>
                    <w:rPr>
                      <w:rFonts w:ascii="Cambria Math" w:hAnsi="Cambria Math" w:eastAsia="MS Mincho"/>
                      <w:lang w:eastAsia="ja-JP"/>
                    </w:rPr>
                    <m:t>)</m:t>
                  </m:r>
                  <m:ctrlPr>
                    <w:rPr>
                      <w:rFonts w:ascii="Cambria Math" w:hAnsi="Cambria Math" w:eastAsia="MS Mincho"/>
                      <w:iCs/>
                      <w:lang w:eastAsia="ja-JP"/>
                    </w:rPr>
                  </m:ctrlPr>
                </m:e>
              </m:mr>
            </m:m>
            <m:ctrlPr>
              <w:rPr>
                <w:rFonts w:ascii="Cambria Math" w:hAnsi="Cambria Math" w:eastAsia="MS Mincho"/>
                <w:iCs/>
                <w:lang w:eastAsia="ja-JP"/>
              </w:rPr>
            </m:ctrlPr>
          </m:e>
        </m:d>
        <m:r>
          <m:rPr>
            <m:sty m:val="p"/>
          </m:rPr>
          <w:rPr>
            <w:rFonts w:ascii="Cambria Math" w:hAnsi="Cambria Math" w:eastAsia="MS Mincho"/>
            <w:lang w:eastAsia="ja-JP"/>
          </w:rPr>
          <m:t>=</m:t>
        </m:r>
        <m:sSub>
          <m:sSubPr>
            <m:ctrlPr>
              <w:rPr>
                <w:rFonts w:ascii="Cambria Math" w:hAnsi="Cambria Math" w:eastAsia="MS Mincho"/>
                <w:iCs/>
                <w:lang w:eastAsia="ja-JP"/>
              </w:rPr>
            </m:ctrlPr>
          </m:sSubPr>
          <m:e>
            <m:r>
              <w:rPr>
                <w:rFonts w:ascii="Cambria Math" w:hAnsi="Cambria Math" w:eastAsia="MS Mincho"/>
                <w:lang w:eastAsia="ja-JP"/>
              </w:rPr>
              <m:t>W</m:t>
            </m:r>
            <m:ctrlPr>
              <w:rPr>
                <w:rFonts w:ascii="Cambria Math" w:hAnsi="Cambria Math" w:eastAsia="MS Mincho"/>
                <w:iCs/>
                <w:lang w:eastAsia="ja-JP"/>
              </w:rPr>
            </m:ctrlPr>
          </m:e>
          <m:sub>
            <m:r>
              <w:rPr>
                <w:rFonts w:ascii="Cambria Math" w:hAnsi="Cambria Math" w:eastAsia="MS Mincho"/>
                <w:lang w:eastAsia="ja-JP"/>
              </w:rPr>
              <m:t>k</m:t>
            </m:r>
            <m:ctrlPr>
              <w:rPr>
                <w:rFonts w:ascii="Cambria Math" w:hAnsi="Cambria Math" w:eastAsia="MS Mincho"/>
                <w:iCs/>
                <w:lang w:eastAsia="ja-JP"/>
              </w:rPr>
            </m:ctrlPr>
          </m:sub>
        </m:sSub>
        <m:d>
          <m:dPr>
            <m:ctrlPr>
              <w:rPr>
                <w:rFonts w:ascii="Cambria Math" w:hAnsi="Cambria Math" w:eastAsia="MS Mincho"/>
                <w:lang w:eastAsia="ja-JP"/>
              </w:rPr>
            </m:ctrlPr>
          </m:dPr>
          <m:e>
            <m:r>
              <w:rPr>
                <w:rFonts w:ascii="Cambria Math" w:hAnsi="Cambria Math" w:eastAsia="MS Mincho"/>
                <w:lang w:eastAsia="ja-JP"/>
              </w:rPr>
              <m:t>i</m:t>
            </m:r>
            <m:ctrlPr>
              <w:rPr>
                <w:rFonts w:ascii="Cambria Math" w:hAnsi="Cambria Math" w:eastAsia="MS Mincho"/>
                <w:lang w:eastAsia="ja-JP"/>
              </w:rPr>
            </m:ctrlPr>
          </m:e>
        </m:d>
        <m:d>
          <m:dPr>
            <m:begChr m:val="["/>
            <m:endChr m:val="]"/>
            <m:ctrlPr>
              <w:rPr>
                <w:rFonts w:ascii="Cambria Math" w:hAnsi="Cambria Math" w:eastAsia="MS Mincho"/>
                <w:iCs/>
                <w:lang w:eastAsia="ja-JP"/>
              </w:rPr>
            </m:ctrlPr>
          </m:dPr>
          <m:e>
            <m:m>
              <m:mPr>
                <m:mcs>
                  <m:mc>
                    <m:mcPr>
                      <m:count m:val="1"/>
                      <m:mcJc m:val="center"/>
                    </m:mcPr>
                  </m:mc>
                </m:mcs>
                <m:ctrlPr>
                  <w:rPr>
                    <w:rFonts w:ascii="Cambria Math" w:hAnsi="Cambria Math" w:eastAsia="MS Mincho"/>
                    <w:iCs/>
                    <w:lang w:eastAsia="ja-JP"/>
                  </w:rPr>
                </m:ctrlPr>
              </m:mPr>
              <m:mr>
                <m:e>
                  <m:sSubSup>
                    <m:sSubSupPr>
                      <m:ctrlPr>
                        <w:rPr>
                          <w:rFonts w:ascii="Cambria Math" w:hAnsi="Cambria Math" w:eastAsia="MS Mincho"/>
                          <w:iCs/>
                          <w:lang w:eastAsia="ja-JP"/>
                        </w:rPr>
                      </m:ctrlPr>
                    </m:sSubSupPr>
                    <m:e>
                      <m:r>
                        <w:rPr>
                          <w:rFonts w:ascii="Cambria Math" w:hAnsi="Cambria Math" w:eastAsia="MS Mincho"/>
                          <w:lang w:eastAsia="ja-JP"/>
                        </w:rPr>
                        <m:t>x</m:t>
                      </m:r>
                      <m:ctrlPr>
                        <w:rPr>
                          <w:rFonts w:ascii="Cambria Math" w:hAnsi="Cambria Math" w:eastAsia="MS Mincho"/>
                          <w:iCs/>
                          <w:lang w:eastAsia="ja-JP"/>
                        </w:rPr>
                      </m:ctrlPr>
                    </m:e>
                    <m:sub>
                      <m:r>
                        <w:rPr>
                          <w:rFonts w:ascii="Cambria Math" w:hAnsi="Cambria Math" w:eastAsia="MS Mincho"/>
                          <w:lang w:eastAsia="ja-JP"/>
                        </w:rPr>
                        <m:t>k</m:t>
                      </m:r>
                      <m:ctrlPr>
                        <w:rPr>
                          <w:rFonts w:ascii="Cambria Math" w:hAnsi="Cambria Math" w:eastAsia="MS Mincho"/>
                          <w:iCs/>
                          <w:lang w:eastAsia="ja-JP"/>
                        </w:rPr>
                      </m:ctrlPr>
                    </m:sub>
                    <m:sup>
                      <m:d>
                        <m:dPr>
                          <m:ctrlPr>
                            <w:rPr>
                              <w:rFonts w:ascii="Cambria Math" w:hAnsi="Cambria Math" w:eastAsia="MS Mincho"/>
                              <w:lang w:eastAsia="ja-JP"/>
                            </w:rPr>
                          </m:ctrlPr>
                        </m:dPr>
                        <m:e>
                          <m:r>
                            <m:rPr>
                              <m:sty m:val="p"/>
                            </m:rPr>
                            <w:rPr>
                              <w:rFonts w:ascii="Cambria Math" w:hAnsi="Cambria Math" w:eastAsia="MS Mincho"/>
                              <w:lang w:eastAsia="ja-JP"/>
                            </w:rPr>
                            <m:t>0</m:t>
                          </m:r>
                          <m:ctrlPr>
                            <w:rPr>
                              <w:rFonts w:ascii="Cambria Math" w:hAnsi="Cambria Math" w:eastAsia="MS Mincho"/>
                              <w:lang w:eastAsia="ja-JP"/>
                            </w:rPr>
                          </m:ctrlPr>
                        </m:e>
                      </m:d>
                      <m:ctrlPr>
                        <w:rPr>
                          <w:rFonts w:ascii="Cambria Math" w:hAnsi="Cambria Math" w:eastAsia="MS Mincho"/>
                          <w:iCs/>
                          <w:lang w:eastAsia="ja-JP"/>
                        </w:rPr>
                      </m:ctrlPr>
                    </m:sup>
                  </m:sSubSup>
                  <m:d>
                    <m:dPr>
                      <m:ctrlPr>
                        <w:rPr>
                          <w:rFonts w:ascii="Cambria Math" w:hAnsi="Cambria Math" w:eastAsia="MS Mincho"/>
                          <w:lang w:eastAsia="ja-JP"/>
                        </w:rPr>
                      </m:ctrlPr>
                    </m:dPr>
                    <m:e>
                      <m:r>
                        <w:rPr>
                          <w:rFonts w:ascii="Cambria Math" w:hAnsi="Cambria Math" w:eastAsia="MS Mincho"/>
                          <w:lang w:eastAsia="ja-JP"/>
                        </w:rPr>
                        <m:t>i</m:t>
                      </m:r>
                      <m:ctrlPr>
                        <w:rPr>
                          <w:rFonts w:ascii="Cambria Math" w:hAnsi="Cambria Math" w:eastAsia="MS Mincho"/>
                          <w:lang w:eastAsia="ja-JP"/>
                        </w:rPr>
                      </m:ctrlPr>
                    </m:e>
                  </m:d>
                  <m:ctrlPr>
                    <w:rPr>
                      <w:rFonts w:ascii="Cambria Math" w:hAnsi="Cambria Math" w:eastAsia="MS Mincho"/>
                      <w:iCs/>
                      <w:lang w:eastAsia="ja-JP"/>
                    </w:rPr>
                  </m:ctrlPr>
                </m:e>
              </m:mr>
              <m:mr>
                <m:e>
                  <m:r>
                    <m:rPr>
                      <m:sty m:val="p"/>
                    </m:rPr>
                    <w:rPr>
                      <w:rFonts w:hint="cs" w:ascii="Cambria Math" w:hAnsi="Cambria Math" w:eastAsia="MS Mincho" w:cs="Cambria Math"/>
                      <w:cs/>
                      <w:lang w:eastAsia="ja-JP" w:bidi="mr-IN"/>
                    </w:rPr>
                    <m:t>⋮</m:t>
                  </m:r>
                  <m:ctrlPr>
                    <w:rPr>
                      <w:rFonts w:ascii="Cambria Math" w:hAnsi="Cambria Math" w:eastAsia="MS Mincho"/>
                      <w:iCs/>
                      <w:lang w:eastAsia="ja-JP"/>
                    </w:rPr>
                  </m:ctrlPr>
                </m:e>
              </m:mr>
              <m:mr>
                <m:e>
                  <m:sSubSup>
                    <m:sSubSupPr>
                      <m:ctrlPr>
                        <w:rPr>
                          <w:rFonts w:ascii="Cambria Math" w:hAnsi="Cambria Math" w:eastAsia="MS Mincho"/>
                          <w:iCs/>
                          <w:lang w:eastAsia="ja-JP"/>
                        </w:rPr>
                      </m:ctrlPr>
                    </m:sSubSupPr>
                    <m:e>
                      <m:r>
                        <w:rPr>
                          <w:rFonts w:ascii="Cambria Math" w:hAnsi="Cambria Math" w:eastAsia="MS Mincho"/>
                          <w:lang w:eastAsia="ja-JP"/>
                        </w:rPr>
                        <m:t>x</m:t>
                      </m:r>
                      <m:ctrlPr>
                        <w:rPr>
                          <w:rFonts w:ascii="Cambria Math" w:hAnsi="Cambria Math" w:eastAsia="MS Mincho"/>
                          <w:iCs/>
                          <w:lang w:eastAsia="ja-JP"/>
                        </w:rPr>
                      </m:ctrlPr>
                    </m:e>
                    <m:sub>
                      <m:r>
                        <w:rPr>
                          <w:rFonts w:ascii="Cambria Math" w:hAnsi="Cambria Math" w:eastAsia="MS Mincho"/>
                          <w:lang w:eastAsia="ja-JP"/>
                        </w:rPr>
                        <m:t>k</m:t>
                      </m:r>
                      <m:ctrlPr>
                        <w:rPr>
                          <w:rFonts w:ascii="Cambria Math" w:hAnsi="Cambria Math" w:eastAsia="MS Mincho"/>
                          <w:iCs/>
                          <w:lang w:eastAsia="ja-JP"/>
                        </w:rPr>
                      </m:ctrlPr>
                    </m:sub>
                    <m:sup>
                      <m:d>
                        <m:dPr>
                          <m:ctrlPr>
                            <w:rPr>
                              <w:rFonts w:ascii="Cambria Math" w:hAnsi="Cambria Math" w:eastAsia="MS Mincho"/>
                              <w:lang w:eastAsia="ja-JP"/>
                            </w:rPr>
                          </m:ctrlPr>
                        </m:dPr>
                        <m:e>
                          <m:sSub>
                            <m:sSubPr>
                              <m:ctrlPr>
                                <w:rPr>
                                  <w:rFonts w:ascii="Cambria Math" w:hAnsi="Cambria Math" w:eastAsia="MS Mincho"/>
                                  <w:iCs/>
                                  <w:lang w:eastAsia="ja-JP"/>
                                </w:rPr>
                              </m:ctrlPr>
                            </m:sSubPr>
                            <m:e>
                              <m:r>
                                <w:rPr>
                                  <w:rFonts w:ascii="Cambria Math" w:hAnsi="Cambria Math" w:eastAsia="MS Mincho"/>
                                  <w:lang w:eastAsia="ja-JP"/>
                                </w:rPr>
                                <m:t>υ</m:t>
                              </m:r>
                              <m:ctrlPr>
                                <w:rPr>
                                  <w:rFonts w:ascii="Cambria Math" w:hAnsi="Cambria Math" w:eastAsia="MS Mincho"/>
                                  <w:iCs/>
                                  <w:lang w:eastAsia="ja-JP"/>
                                </w:rPr>
                              </m:ctrlPr>
                            </m:e>
                            <m:sub>
                              <m:r>
                                <w:rPr>
                                  <w:rFonts w:ascii="Cambria Math" w:hAnsi="Cambria Math" w:eastAsia="MS Mincho"/>
                                  <w:lang w:eastAsia="ja-JP"/>
                                </w:rPr>
                                <m:t>k</m:t>
                              </m:r>
                              <m:ctrlPr>
                                <w:rPr>
                                  <w:rFonts w:ascii="Cambria Math" w:hAnsi="Cambria Math" w:eastAsia="MS Mincho"/>
                                  <w:iCs/>
                                  <w:lang w:eastAsia="ja-JP"/>
                                </w:rPr>
                              </m:ctrlPr>
                            </m:sub>
                          </m:sSub>
                          <m:r>
                            <m:rPr>
                              <m:sty m:val="p"/>
                            </m:rPr>
                            <w:rPr>
                              <w:rFonts w:ascii="Cambria Math" w:hAnsi="Cambria Math" w:eastAsia="MS Mincho"/>
                              <w:lang w:eastAsia="ja-JP"/>
                            </w:rPr>
                            <m:t>-1</m:t>
                          </m:r>
                          <m:ctrlPr>
                            <w:rPr>
                              <w:rFonts w:ascii="Cambria Math" w:hAnsi="Cambria Math" w:eastAsia="MS Mincho"/>
                              <w:lang w:eastAsia="ja-JP"/>
                            </w:rPr>
                          </m:ctrlPr>
                        </m:e>
                      </m:d>
                      <m:ctrlPr>
                        <w:rPr>
                          <w:rFonts w:ascii="Cambria Math" w:hAnsi="Cambria Math" w:eastAsia="MS Mincho"/>
                          <w:iCs/>
                          <w:lang w:eastAsia="ja-JP"/>
                        </w:rPr>
                      </m:ctrlPr>
                    </m:sup>
                  </m:sSubSup>
                  <m:d>
                    <m:dPr>
                      <m:ctrlPr>
                        <w:rPr>
                          <w:rFonts w:ascii="Cambria Math" w:hAnsi="Cambria Math" w:eastAsia="MS Mincho"/>
                          <w:lang w:eastAsia="ja-JP"/>
                        </w:rPr>
                      </m:ctrlPr>
                    </m:dPr>
                    <m:e>
                      <m:r>
                        <w:rPr>
                          <w:rFonts w:ascii="Cambria Math" w:hAnsi="Cambria Math" w:eastAsia="MS Mincho"/>
                          <w:lang w:eastAsia="ja-JP"/>
                        </w:rPr>
                        <m:t>i</m:t>
                      </m:r>
                      <m:ctrlPr>
                        <w:rPr>
                          <w:rFonts w:ascii="Cambria Math" w:hAnsi="Cambria Math" w:eastAsia="MS Mincho"/>
                          <w:lang w:eastAsia="ja-JP"/>
                        </w:rPr>
                      </m:ctrlPr>
                    </m:e>
                  </m:d>
                  <m:ctrlPr>
                    <w:rPr>
                      <w:rFonts w:ascii="Cambria Math" w:hAnsi="Cambria Math" w:eastAsia="MS Mincho"/>
                      <w:iCs/>
                      <w:lang w:eastAsia="ja-JP"/>
                    </w:rPr>
                  </m:ctrlPr>
                </m:e>
              </m:mr>
            </m:m>
            <m:ctrlPr>
              <w:rPr>
                <w:rFonts w:ascii="Cambria Math" w:hAnsi="Cambria Math" w:eastAsia="MS Mincho"/>
                <w:iCs/>
                <w:lang w:eastAsia="ja-JP"/>
              </w:rPr>
            </m:ctrlPr>
          </m:e>
        </m:d>
        <m:r>
          <m:rPr>
            <m:sty m:val="p"/>
          </m:rPr>
          <w:rPr>
            <w:rFonts w:ascii="Cambria Math" w:hAnsi="Cambria Math" w:eastAsia="MS Mincho"/>
            <w:lang w:eastAsia="ja-JP"/>
          </w:rPr>
          <m:t>,</m:t>
        </m:r>
        <m:r>
          <w:rPr>
            <w:rFonts w:ascii="Cambria Math" w:hAnsi="Cambria Math" w:eastAsia="MS Mincho"/>
            <w:lang w:eastAsia="ja-JP"/>
          </w:rPr>
          <m:t>k</m:t>
        </m:r>
        <m:r>
          <m:rPr>
            <m:sty m:val="p"/>
          </m:rPr>
          <w:rPr>
            <w:rFonts w:ascii="Cambria Math" w:hAnsi="Cambria Math" w:eastAsia="MS Mincho"/>
            <w:lang w:eastAsia="ja-JP"/>
          </w:rPr>
          <m:t>=0,1</m:t>
        </m:r>
      </m:oMath>
    </w:p>
    <w:p>
      <w:pPr>
        <w:pStyle w:val="81"/>
        <w:ind w:firstLine="0"/>
      </w:pPr>
      <w:r>
        <w:t xml:space="preserve">where </w:t>
      </w:r>
      <w:r>
        <w:rPr>
          <w:position w:val="-16"/>
          <w:lang w:val="en-US" w:eastAsia="zh-CN"/>
        </w:rPr>
        <w:drawing>
          <wp:inline distT="0" distB="0" distL="114300" distR="114300">
            <wp:extent cx="1924050" cy="273050"/>
            <wp:effectExtent l="0" t="0" r="0" b="13335"/>
            <wp:docPr id="3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7"/>
                    <pic:cNvPicPr>
                      <a:picLocks noChangeAspect="1"/>
                    </pic:cNvPicPr>
                  </pic:nvPicPr>
                  <pic:blipFill>
                    <a:blip r:embed="rId22"/>
                    <a:stretch>
                      <a:fillRect/>
                    </a:stretch>
                  </pic:blipFill>
                  <pic:spPr>
                    <a:xfrm>
                      <a:off x="0" y="0"/>
                      <a:ext cx="1924050" cy="273050"/>
                    </a:xfrm>
                    <a:prstGeom prst="rect">
                      <a:avLst/>
                    </a:prstGeom>
                    <a:noFill/>
                    <a:ln>
                      <a:noFill/>
                    </a:ln>
                  </pic:spPr>
                </pic:pic>
              </a:graphicData>
            </a:graphic>
          </wp:inline>
        </w:drawing>
      </w:r>
      <w:r>
        <w:t xml:space="preserve"> is a vector of symbols from the layer mapping in Subclause 6.3.3.2 of [3] for codeword </w:t>
      </w:r>
      <w:r>
        <w:rPr>
          <w:i/>
        </w:rPr>
        <w:t>k</w:t>
      </w:r>
      <w:r>
        <w:t xml:space="preserve">=0, 1 and where </w:t>
      </w:r>
      <w:r>
        <w:rPr>
          <w:lang w:eastAsia="zh-CN"/>
        </w:rPr>
        <w:t xml:space="preserve">the CSI corresponding to a </w:t>
      </w:r>
      <w:r>
        <w:rPr>
          <w:lang w:val="en-US"/>
        </w:rPr>
        <w:t>codeword</w:t>
      </w:r>
      <w:r>
        <w:rPr>
          <w:lang w:eastAsia="zh-CN"/>
        </w:rPr>
        <w:t xml:space="preserve"> is </w:t>
      </w:r>
      <w:r>
        <w:rPr>
          <w:lang w:val="en-US"/>
        </w:rPr>
        <w:t>calculated based on the assumption that inter-codeword interference is derived from channel measurement obtained from the NZP CSI-RS resource and the precoding matrix</w:t>
      </w:r>
      <w:r>
        <w:t xml:space="preserve"> </w:t>
      </w:r>
      <w:r>
        <w:rPr>
          <w:lang w:val="en-US"/>
        </w:rPr>
        <w:t>corresponding to the other codeword</w:t>
      </w:r>
      <w:r>
        <w:t xml:space="preserve">. The corresponding PDSCH signals transmitted on antenna ports </w:t>
      </w:r>
      <w:r>
        <w:rPr>
          <w:position w:val="-12"/>
          <w:lang w:val="en-US" w:eastAsia="zh-CN"/>
        </w:rPr>
        <w:drawing>
          <wp:inline distT="0" distB="0" distL="114300" distR="114300">
            <wp:extent cx="914400" cy="273050"/>
            <wp:effectExtent l="0" t="0" r="0" b="13335"/>
            <wp:docPr id="35"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8"/>
                    <pic:cNvPicPr>
                      <a:picLocks noChangeAspect="1"/>
                    </pic:cNvPicPr>
                  </pic:nvPicPr>
                  <pic:blipFill>
                    <a:blip r:embed="rId23"/>
                    <a:stretch>
                      <a:fillRect/>
                    </a:stretch>
                  </pic:blipFill>
                  <pic:spPr>
                    <a:xfrm>
                      <a:off x="0" y="0"/>
                      <a:ext cx="914400" cy="273050"/>
                    </a:xfrm>
                    <a:prstGeom prst="rect">
                      <a:avLst/>
                    </a:prstGeom>
                    <a:noFill/>
                    <a:ln>
                      <a:noFill/>
                    </a:ln>
                  </pic:spPr>
                </pic:pic>
              </a:graphicData>
            </a:graphic>
          </wp:inline>
        </w:drawing>
      </w:r>
      <w:r>
        <w:t xml:space="preserve"> would have a ratio of EPRE to CSI-RS EPRE equal to the ratio given in Subclause 7.2.5 </w:t>
      </w:r>
      <w:r>
        <w:rPr>
          <w:lang w:val="en-US"/>
        </w:rPr>
        <w:t>for the (</w:t>
      </w:r>
      <w:r>
        <w:rPr>
          <w:i/>
          <w:lang w:val="en-US"/>
        </w:rPr>
        <w:t>k</w:t>
      </w:r>
      <w:r>
        <w:rPr>
          <w:lang w:val="en-US"/>
        </w:rPr>
        <w:t>+1)th</w:t>
      </w:r>
      <w:r>
        <w:rPr>
          <w:i/>
          <w:lang w:val="en-US"/>
        </w:rPr>
        <w:t xml:space="preserve"> </w:t>
      </w:r>
      <w:r>
        <w:rPr>
          <w:lang w:val="en-US"/>
        </w:rPr>
        <w:t xml:space="preserve">CSI-RS resource.  If </w:t>
      </w:r>
      <w:r>
        <w:rPr>
          <w:position w:val="-12"/>
          <w:lang w:val="en-US" w:eastAsia="zh-CN"/>
        </w:rPr>
        <w:drawing>
          <wp:inline distT="0" distB="0" distL="114300" distR="114300">
            <wp:extent cx="178435" cy="273050"/>
            <wp:effectExtent l="0" t="0" r="12065" b="13335"/>
            <wp:docPr id="41"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9"/>
                    <pic:cNvPicPr>
                      <a:picLocks noChangeAspect="1"/>
                    </pic:cNvPicPr>
                  </pic:nvPicPr>
                  <pic:blipFill>
                    <a:blip r:embed="rId24"/>
                    <a:stretch>
                      <a:fillRect/>
                    </a:stretch>
                  </pic:blipFill>
                  <pic:spPr>
                    <a:xfrm>
                      <a:off x="0" y="0"/>
                      <a:ext cx="178435" cy="273050"/>
                    </a:xfrm>
                    <a:prstGeom prst="rect">
                      <a:avLst/>
                    </a:prstGeom>
                    <a:noFill/>
                    <a:ln>
                      <a:noFill/>
                    </a:ln>
                  </pic:spPr>
                </pic:pic>
              </a:graphicData>
            </a:graphic>
          </wp:inline>
        </w:drawing>
      </w:r>
      <w:r>
        <w:rPr>
          <w:rFonts w:eastAsia="宋体"/>
          <w:lang w:eastAsia="zh-CN"/>
        </w:rPr>
        <w:t>=1, then</w:t>
      </w:r>
      <w:r>
        <w:rPr>
          <w:rFonts w:eastAsia="宋体"/>
          <w:lang w:val="en-US" w:eastAsia="zh-CN"/>
        </w:rPr>
        <w:t xml:space="preserve"> </w:t>
      </w:r>
      <w:r>
        <w:rPr>
          <w:position w:val="-12"/>
          <w:lang w:val="en-US" w:eastAsia="zh-CN"/>
        </w:rPr>
        <w:drawing>
          <wp:inline distT="0" distB="0" distL="114300" distR="114300">
            <wp:extent cx="356235" cy="273050"/>
            <wp:effectExtent l="0" t="0" r="5715" b="13335"/>
            <wp:docPr id="39"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0"/>
                    <pic:cNvPicPr>
                      <a:picLocks noChangeAspect="1"/>
                    </pic:cNvPicPr>
                  </pic:nvPicPr>
                  <pic:blipFill>
                    <a:blip r:embed="rId25"/>
                    <a:stretch>
                      <a:fillRect/>
                    </a:stretch>
                  </pic:blipFill>
                  <pic:spPr>
                    <a:xfrm>
                      <a:off x="0" y="0"/>
                      <a:ext cx="356235" cy="273050"/>
                    </a:xfrm>
                    <a:prstGeom prst="rect">
                      <a:avLst/>
                    </a:prstGeom>
                    <a:noFill/>
                    <a:ln>
                      <a:noFill/>
                    </a:ln>
                  </pic:spPr>
                </pic:pic>
              </a:graphicData>
            </a:graphic>
          </wp:inline>
        </w:drawing>
      </w:r>
      <w:r>
        <w:rPr>
          <w:lang w:val="en-US"/>
        </w:rPr>
        <w:t xml:space="preserve"> </w:t>
      </w:r>
      <w:r>
        <w:t>is 1</w:t>
      </w:r>
      <w:r>
        <w:rPr>
          <w:lang w:val="en-US"/>
        </w:rPr>
        <w:t xml:space="preserve"> </w:t>
      </w:r>
      <w:r>
        <w:rPr>
          <w:rFonts w:eastAsia="宋体"/>
          <w:lang w:eastAsia="zh-CN"/>
        </w:rPr>
        <w:t>otherwise</w:t>
      </w:r>
      <w:r>
        <w:t xml:space="preserve"> for UE configured for PMI/RI reporting</w:t>
      </w:r>
      <w:r>
        <w:rPr>
          <w:rFonts w:eastAsia="宋体"/>
          <w:lang w:eastAsia="zh-CN"/>
        </w:rPr>
        <w:t xml:space="preserve"> </w:t>
      </w:r>
      <w:r>
        <w:rPr>
          <w:position w:val="-12"/>
          <w:lang w:val="en-US" w:eastAsia="zh-CN"/>
        </w:rPr>
        <w:drawing>
          <wp:inline distT="0" distB="0" distL="114300" distR="114300">
            <wp:extent cx="356235" cy="273050"/>
            <wp:effectExtent l="0" t="0" r="5715" b="13335"/>
            <wp:docPr id="33"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41"/>
                    <pic:cNvPicPr>
                      <a:picLocks noChangeAspect="1"/>
                    </pic:cNvPicPr>
                  </pic:nvPicPr>
                  <pic:blipFill>
                    <a:blip r:embed="rId26"/>
                    <a:stretch>
                      <a:fillRect/>
                    </a:stretch>
                  </pic:blipFill>
                  <pic:spPr>
                    <a:xfrm>
                      <a:off x="0" y="0"/>
                      <a:ext cx="356235" cy="273050"/>
                    </a:xfrm>
                    <a:prstGeom prst="rect">
                      <a:avLst/>
                    </a:prstGeom>
                    <a:noFill/>
                    <a:ln>
                      <a:noFill/>
                    </a:ln>
                  </pic:spPr>
                </pic:pic>
              </a:graphicData>
            </a:graphic>
          </wp:inline>
        </w:drawing>
      </w:r>
      <w:r>
        <w:rPr>
          <w:lang w:val="en-US"/>
        </w:rPr>
        <w:t xml:space="preserve"> </w:t>
      </w:r>
      <w:r>
        <w:t xml:space="preserve">is the precoding matrix corresponding to the reported PMI applicable to </w:t>
      </w:r>
      <w:r>
        <w:rPr>
          <w:position w:val="-12"/>
          <w:lang w:val="en-US" w:eastAsia="zh-CN"/>
        </w:rPr>
        <w:drawing>
          <wp:inline distT="0" distB="0" distL="114300" distR="114300">
            <wp:extent cx="273050" cy="273050"/>
            <wp:effectExtent l="0" t="0" r="12700" b="13335"/>
            <wp:docPr id="34"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42"/>
                    <pic:cNvPicPr>
                      <a:picLocks noChangeAspect="1"/>
                    </pic:cNvPicPr>
                  </pic:nvPicPr>
                  <pic:blipFill>
                    <a:blip r:embed="rId27"/>
                    <a:stretch>
                      <a:fillRect/>
                    </a:stretch>
                  </pic:blipFill>
                  <pic:spPr>
                    <a:xfrm>
                      <a:off x="0" y="0"/>
                      <a:ext cx="273050" cy="273050"/>
                    </a:xfrm>
                    <a:prstGeom prst="rect">
                      <a:avLst/>
                    </a:prstGeom>
                    <a:noFill/>
                    <a:ln>
                      <a:noFill/>
                    </a:ln>
                  </pic:spPr>
                </pic:pic>
              </a:graphicData>
            </a:graphic>
          </wp:inline>
        </w:drawing>
      </w:r>
      <w:r>
        <w:t xml:space="preserve"> and for UE configured without PMI reporting </w:t>
      </w:r>
      <w:r>
        <w:rPr>
          <w:position w:val="-12"/>
          <w:lang w:val="en-US" w:eastAsia="zh-CN"/>
        </w:rPr>
        <w:drawing>
          <wp:inline distT="0" distB="0" distL="114300" distR="114300">
            <wp:extent cx="356235" cy="273050"/>
            <wp:effectExtent l="0" t="0" r="5715" b="13335"/>
            <wp:docPr id="4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3"/>
                    <pic:cNvPicPr>
                      <a:picLocks noChangeAspect="1"/>
                    </pic:cNvPicPr>
                  </pic:nvPicPr>
                  <pic:blipFill>
                    <a:blip r:embed="rId28"/>
                    <a:stretch>
                      <a:fillRect/>
                    </a:stretch>
                  </pic:blipFill>
                  <pic:spPr>
                    <a:xfrm>
                      <a:off x="0" y="0"/>
                      <a:ext cx="356235" cy="273050"/>
                    </a:xfrm>
                    <a:prstGeom prst="rect">
                      <a:avLst/>
                    </a:prstGeom>
                    <a:noFill/>
                    <a:ln>
                      <a:noFill/>
                    </a:ln>
                  </pic:spPr>
                </pic:pic>
              </a:graphicData>
            </a:graphic>
          </wp:inline>
        </w:drawing>
      </w:r>
      <w:r>
        <w:t xml:space="preserve">is the selected precoding matrix corresponding to the reported CQI applicable to </w:t>
      </w:r>
      <w:r>
        <w:rPr>
          <w:position w:val="-12"/>
          <w:lang w:val="en-US" w:eastAsia="zh-CN"/>
        </w:rPr>
        <w:drawing>
          <wp:inline distT="0" distB="0" distL="114300" distR="114300">
            <wp:extent cx="273050" cy="273050"/>
            <wp:effectExtent l="0" t="0" r="12700" b="13335"/>
            <wp:docPr id="37"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44"/>
                    <pic:cNvPicPr>
                      <a:picLocks noChangeAspect="1"/>
                    </pic:cNvPicPr>
                  </pic:nvPicPr>
                  <pic:blipFill>
                    <a:blip r:embed="rId29"/>
                    <a:stretch>
                      <a:fillRect/>
                    </a:stretch>
                  </pic:blipFill>
                  <pic:spPr>
                    <a:xfrm>
                      <a:off x="0" y="0"/>
                      <a:ext cx="273050" cy="273050"/>
                    </a:xfrm>
                    <a:prstGeom prst="rect">
                      <a:avLst/>
                    </a:prstGeom>
                    <a:noFill/>
                    <a:ln>
                      <a:noFill/>
                    </a:ln>
                  </pic:spPr>
                </pic:pic>
              </a:graphicData>
            </a:graphic>
          </wp:inline>
        </w:drawing>
      </w:r>
      <w:r>
        <w:t>.</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altName w:val="Malgun Gothic"/>
    <w:panose1 w:val="020B0600000101010101"/>
    <w:charset w:val="81"/>
    <w:family w:val="roman"/>
    <w:pitch w:val="default"/>
    <w:sig w:usb0="00000000" w:usb1="00000000" w:usb2="00000010" w:usb3="00000000" w:csb0="00080000" w:csb1="00000000"/>
  </w:font>
  <w:font w:name="Batang">
    <w:altName w:val="Malgun Gothic"/>
    <w:panose1 w:val="02030600000101010101"/>
    <w:charset w:val="81"/>
    <w:family w:val="auto"/>
    <w:pitch w:val="default"/>
    <w:sig w:usb0="00000000" w:usb1="00000000" w:usb2="00000010" w:usb3="00000000" w:csb0="00080000"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14</w:t>
        </w:r>
        <w:r>
          <w:rPr>
            <w:lang w:val="zh-CN"/>
          </w:rPr>
          <w:fldChar w:fldCharType="end"/>
        </w:r>
      </w:p>
    </w:sdtContent>
  </w:sdt>
  <w:p>
    <w:pPr>
      <w:pStyle w:val="2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93495D"/>
    <w:multiLevelType w:val="singleLevel"/>
    <w:tmpl w:val="DD93495D"/>
    <w:lvl w:ilvl="0" w:tentative="0">
      <w:start w:val="1"/>
      <w:numFmt w:val="decimal"/>
      <w:suff w:val="space"/>
      <w:lvlText w:val="[%1]"/>
      <w:lvlJc w:val="left"/>
    </w:lvl>
  </w:abstractNum>
  <w:abstractNum w:abstractNumId="1">
    <w:nsid w:val="0DE06F5A"/>
    <w:multiLevelType w:val="multilevel"/>
    <w:tmpl w:val="0DE06F5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F880156"/>
    <w:multiLevelType w:val="multilevel"/>
    <w:tmpl w:val="0F88015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3C7623D"/>
    <w:multiLevelType w:val="multilevel"/>
    <w:tmpl w:val="13C7623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F692191"/>
    <w:multiLevelType w:val="singleLevel"/>
    <w:tmpl w:val="1F692191"/>
    <w:lvl w:ilvl="0" w:tentative="0">
      <w:start w:val="1"/>
      <w:numFmt w:val="bullet"/>
      <w:lvlText w:val=""/>
      <w:lvlJc w:val="left"/>
      <w:pPr>
        <w:ind w:left="420" w:hanging="420"/>
      </w:pPr>
      <w:rPr>
        <w:rFonts w:hint="default" w:ascii="Wingdings" w:hAnsi="Wingdings"/>
      </w:rPr>
    </w:lvl>
  </w:abstractNum>
  <w:abstractNum w:abstractNumId="5">
    <w:nsid w:val="29DF1BBB"/>
    <w:multiLevelType w:val="multilevel"/>
    <w:tmpl w:val="29DF1BB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A2304FD"/>
    <w:multiLevelType w:val="singleLevel"/>
    <w:tmpl w:val="2A2304FD"/>
    <w:lvl w:ilvl="0" w:tentative="0">
      <w:start w:val="1"/>
      <w:numFmt w:val="bullet"/>
      <w:lvlText w:val=""/>
      <w:lvlJc w:val="left"/>
      <w:pPr>
        <w:ind w:left="420" w:hanging="420"/>
      </w:pPr>
      <w:rPr>
        <w:rFonts w:hint="default" w:ascii="Wingdings" w:hAnsi="Wingdings"/>
      </w:rPr>
    </w:lvl>
  </w:abstractNum>
  <w:abstractNum w:abstractNumId="7">
    <w:nsid w:val="3A481D92"/>
    <w:multiLevelType w:val="multilevel"/>
    <w:tmpl w:val="3A481D92"/>
    <w:lvl w:ilvl="0" w:tentative="0">
      <w:start w:val="4"/>
      <w:numFmt w:val="bullet"/>
      <w:lvlText w:val="-"/>
      <w:lvlJc w:val="left"/>
      <w:pPr>
        <w:ind w:left="360" w:hanging="360"/>
      </w:pPr>
      <w:rPr>
        <w:rFonts w:hint="default" w:ascii="Times New Roman" w:hAnsi="Times New Roman" w:eastAsia="微软雅黑" w:cs="Times New Roman"/>
      </w:rPr>
    </w:lvl>
    <w:lvl w:ilvl="1" w:tentative="0">
      <w:start w:val="2"/>
      <w:numFmt w:val="bullet"/>
      <w:lvlText w:val="-"/>
      <w:lvlJc w:val="left"/>
      <w:pPr>
        <w:ind w:left="840" w:hanging="420"/>
      </w:pPr>
      <w:rPr>
        <w:rFonts w:hint="default" w:ascii="Times New Roman" w:hAnsi="Times New Roman" w:eastAsia="微软雅黑"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422B3F28"/>
    <w:multiLevelType w:val="multilevel"/>
    <w:tmpl w:val="422B3F28"/>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9">
    <w:nsid w:val="457F6A94"/>
    <w:multiLevelType w:val="multilevel"/>
    <w:tmpl w:val="457F6A9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74034DF"/>
    <w:multiLevelType w:val="multilevel"/>
    <w:tmpl w:val="474034D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2">
    <w:nsid w:val="6B4169A0"/>
    <w:multiLevelType w:val="multilevel"/>
    <w:tmpl w:val="6B4169A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4233BD2"/>
    <w:multiLevelType w:val="multilevel"/>
    <w:tmpl w:val="74233BD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C2A3855"/>
    <w:multiLevelType w:val="multilevel"/>
    <w:tmpl w:val="7C2A385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CA7AC53"/>
    <w:multiLevelType w:val="singleLevel"/>
    <w:tmpl w:val="7CA7AC53"/>
    <w:lvl w:ilvl="0" w:tentative="0">
      <w:start w:val="1"/>
      <w:numFmt w:val="bullet"/>
      <w:lvlText w:val=""/>
      <w:lvlJc w:val="left"/>
      <w:pPr>
        <w:ind w:left="420" w:hanging="420"/>
      </w:pPr>
      <w:rPr>
        <w:rFonts w:hint="default" w:ascii="Wingdings" w:hAnsi="Wingdings"/>
      </w:rPr>
    </w:lvl>
  </w:abstractNum>
  <w:num w:numId="1">
    <w:abstractNumId w:val="11"/>
  </w:num>
  <w:num w:numId="2">
    <w:abstractNumId w:val="8"/>
  </w:num>
  <w:num w:numId="3">
    <w:abstractNumId w:val="13"/>
  </w:num>
  <w:num w:numId="4">
    <w:abstractNumId w:val="14"/>
  </w:num>
  <w:num w:numId="5">
    <w:abstractNumId w:val="15"/>
  </w:num>
  <w:num w:numId="6">
    <w:abstractNumId w:val="3"/>
  </w:num>
  <w:num w:numId="7">
    <w:abstractNumId w:val="4"/>
  </w:num>
  <w:num w:numId="8">
    <w:abstractNumId w:val="10"/>
  </w:num>
  <w:num w:numId="9">
    <w:abstractNumId w:val="2"/>
  </w:num>
  <w:num w:numId="10">
    <w:abstractNumId w:val="6"/>
  </w:num>
  <w:num w:numId="11">
    <w:abstractNumId w:val="1"/>
  </w:num>
  <w:num w:numId="12">
    <w:abstractNumId w:val="12"/>
  </w:num>
  <w:num w:numId="13">
    <w:abstractNumId w:val="5"/>
  </w:num>
  <w:num w:numId="14">
    <w:abstractNumId w:val="9"/>
  </w:num>
  <w:num w:numId="15">
    <w:abstractNumId w:val="7"/>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3F8"/>
    <w:rsid w:val="000016ED"/>
    <w:rsid w:val="00001826"/>
    <w:rsid w:val="000018BC"/>
    <w:rsid w:val="00001CD2"/>
    <w:rsid w:val="00002071"/>
    <w:rsid w:val="00002307"/>
    <w:rsid w:val="000026DE"/>
    <w:rsid w:val="00002747"/>
    <w:rsid w:val="00002A65"/>
    <w:rsid w:val="00002C2A"/>
    <w:rsid w:val="00003238"/>
    <w:rsid w:val="0000323C"/>
    <w:rsid w:val="000034B7"/>
    <w:rsid w:val="000035E0"/>
    <w:rsid w:val="0000385F"/>
    <w:rsid w:val="00003933"/>
    <w:rsid w:val="000039EF"/>
    <w:rsid w:val="00003B1A"/>
    <w:rsid w:val="0000404A"/>
    <w:rsid w:val="000042BE"/>
    <w:rsid w:val="000047CE"/>
    <w:rsid w:val="00004C4A"/>
    <w:rsid w:val="00004CE7"/>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5F3"/>
    <w:rsid w:val="00013B7E"/>
    <w:rsid w:val="00013CCC"/>
    <w:rsid w:val="00013CE8"/>
    <w:rsid w:val="00013EF4"/>
    <w:rsid w:val="00013F3D"/>
    <w:rsid w:val="000143CA"/>
    <w:rsid w:val="00014536"/>
    <w:rsid w:val="00014604"/>
    <w:rsid w:val="00014C16"/>
    <w:rsid w:val="00014F4A"/>
    <w:rsid w:val="0001519B"/>
    <w:rsid w:val="00015601"/>
    <w:rsid w:val="0001595B"/>
    <w:rsid w:val="000161ED"/>
    <w:rsid w:val="000164F3"/>
    <w:rsid w:val="0001678E"/>
    <w:rsid w:val="00017D50"/>
    <w:rsid w:val="00017DFA"/>
    <w:rsid w:val="00017FA4"/>
    <w:rsid w:val="000200D0"/>
    <w:rsid w:val="000200E2"/>
    <w:rsid w:val="000204F1"/>
    <w:rsid w:val="000206F4"/>
    <w:rsid w:val="000207A5"/>
    <w:rsid w:val="0002084D"/>
    <w:rsid w:val="0002096E"/>
    <w:rsid w:val="00020A7D"/>
    <w:rsid w:val="00020E84"/>
    <w:rsid w:val="000212A6"/>
    <w:rsid w:val="000213E7"/>
    <w:rsid w:val="00021473"/>
    <w:rsid w:val="000216F2"/>
    <w:rsid w:val="00021825"/>
    <w:rsid w:val="00021E00"/>
    <w:rsid w:val="00022061"/>
    <w:rsid w:val="0002206A"/>
    <w:rsid w:val="000221D5"/>
    <w:rsid w:val="000222E3"/>
    <w:rsid w:val="000225C7"/>
    <w:rsid w:val="00022C10"/>
    <w:rsid w:val="00022E7C"/>
    <w:rsid w:val="00023019"/>
    <w:rsid w:val="000230B7"/>
    <w:rsid w:val="0002336F"/>
    <w:rsid w:val="000234BF"/>
    <w:rsid w:val="000234CD"/>
    <w:rsid w:val="000236EB"/>
    <w:rsid w:val="0002387B"/>
    <w:rsid w:val="00023951"/>
    <w:rsid w:val="000239CB"/>
    <w:rsid w:val="000239E7"/>
    <w:rsid w:val="00023E8F"/>
    <w:rsid w:val="000240D2"/>
    <w:rsid w:val="00024173"/>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249"/>
    <w:rsid w:val="00026588"/>
    <w:rsid w:val="00026655"/>
    <w:rsid w:val="000269FC"/>
    <w:rsid w:val="00026A49"/>
    <w:rsid w:val="00026B95"/>
    <w:rsid w:val="00026C27"/>
    <w:rsid w:val="00026C59"/>
    <w:rsid w:val="00026F3A"/>
    <w:rsid w:val="00026FAF"/>
    <w:rsid w:val="00027016"/>
    <w:rsid w:val="000271B7"/>
    <w:rsid w:val="000272B3"/>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2BE8"/>
    <w:rsid w:val="000331E5"/>
    <w:rsid w:val="000332EA"/>
    <w:rsid w:val="00033381"/>
    <w:rsid w:val="00033454"/>
    <w:rsid w:val="000335D4"/>
    <w:rsid w:val="00033649"/>
    <w:rsid w:val="0003365C"/>
    <w:rsid w:val="000336B5"/>
    <w:rsid w:val="0003371B"/>
    <w:rsid w:val="00033E24"/>
    <w:rsid w:val="00034192"/>
    <w:rsid w:val="000342F2"/>
    <w:rsid w:val="000343FC"/>
    <w:rsid w:val="00035191"/>
    <w:rsid w:val="000351CA"/>
    <w:rsid w:val="00035224"/>
    <w:rsid w:val="000353D5"/>
    <w:rsid w:val="0003549B"/>
    <w:rsid w:val="00035831"/>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5C3"/>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3F60"/>
    <w:rsid w:val="00044032"/>
    <w:rsid w:val="0004418F"/>
    <w:rsid w:val="00044374"/>
    <w:rsid w:val="00044425"/>
    <w:rsid w:val="0004444D"/>
    <w:rsid w:val="00044C0B"/>
    <w:rsid w:val="00044F32"/>
    <w:rsid w:val="00044F8A"/>
    <w:rsid w:val="00044FF3"/>
    <w:rsid w:val="00045271"/>
    <w:rsid w:val="0004566F"/>
    <w:rsid w:val="00045ACD"/>
    <w:rsid w:val="00045D77"/>
    <w:rsid w:val="00045E51"/>
    <w:rsid w:val="00045E98"/>
    <w:rsid w:val="00046382"/>
    <w:rsid w:val="00046921"/>
    <w:rsid w:val="0004692A"/>
    <w:rsid w:val="00046DE8"/>
    <w:rsid w:val="00046E90"/>
    <w:rsid w:val="00046EFA"/>
    <w:rsid w:val="00046F7F"/>
    <w:rsid w:val="00047274"/>
    <w:rsid w:val="000472FB"/>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1CFA"/>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57FC8"/>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1B"/>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C7A"/>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176"/>
    <w:rsid w:val="000712C9"/>
    <w:rsid w:val="0007140C"/>
    <w:rsid w:val="000715A8"/>
    <w:rsid w:val="00071A12"/>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734"/>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02"/>
    <w:rsid w:val="0009534B"/>
    <w:rsid w:val="00095487"/>
    <w:rsid w:val="000961DD"/>
    <w:rsid w:val="0009661E"/>
    <w:rsid w:val="00096B98"/>
    <w:rsid w:val="00096D83"/>
    <w:rsid w:val="00096EAA"/>
    <w:rsid w:val="00096F56"/>
    <w:rsid w:val="00097059"/>
    <w:rsid w:val="00097067"/>
    <w:rsid w:val="00097071"/>
    <w:rsid w:val="00097072"/>
    <w:rsid w:val="00097968"/>
    <w:rsid w:val="00097A1D"/>
    <w:rsid w:val="00097E1C"/>
    <w:rsid w:val="000A00B5"/>
    <w:rsid w:val="000A0121"/>
    <w:rsid w:val="000A0279"/>
    <w:rsid w:val="000A029A"/>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55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5E55"/>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1DE0"/>
    <w:rsid w:val="000B2006"/>
    <w:rsid w:val="000B207B"/>
    <w:rsid w:val="000B24CF"/>
    <w:rsid w:val="000B2519"/>
    <w:rsid w:val="000B2A46"/>
    <w:rsid w:val="000B2E28"/>
    <w:rsid w:val="000B2EFD"/>
    <w:rsid w:val="000B3071"/>
    <w:rsid w:val="000B3231"/>
    <w:rsid w:val="000B354B"/>
    <w:rsid w:val="000B3649"/>
    <w:rsid w:val="000B3686"/>
    <w:rsid w:val="000B36BD"/>
    <w:rsid w:val="000B3705"/>
    <w:rsid w:val="000B38BA"/>
    <w:rsid w:val="000B3A64"/>
    <w:rsid w:val="000B3FDC"/>
    <w:rsid w:val="000B40EA"/>
    <w:rsid w:val="000B40FD"/>
    <w:rsid w:val="000B44FE"/>
    <w:rsid w:val="000B46EC"/>
    <w:rsid w:val="000B4871"/>
    <w:rsid w:val="000B495B"/>
    <w:rsid w:val="000B4BA3"/>
    <w:rsid w:val="000B4FBA"/>
    <w:rsid w:val="000B5B5B"/>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C48"/>
    <w:rsid w:val="000C0EE8"/>
    <w:rsid w:val="000C0FD3"/>
    <w:rsid w:val="000C101F"/>
    <w:rsid w:val="000C1168"/>
    <w:rsid w:val="000C1202"/>
    <w:rsid w:val="000C1254"/>
    <w:rsid w:val="000C1992"/>
    <w:rsid w:val="000C1E90"/>
    <w:rsid w:val="000C1EA7"/>
    <w:rsid w:val="000C222D"/>
    <w:rsid w:val="000C313D"/>
    <w:rsid w:val="000C3921"/>
    <w:rsid w:val="000C3AB4"/>
    <w:rsid w:val="000C3AD9"/>
    <w:rsid w:val="000C3EA1"/>
    <w:rsid w:val="000C422E"/>
    <w:rsid w:val="000C4725"/>
    <w:rsid w:val="000C4D3B"/>
    <w:rsid w:val="000C4E4B"/>
    <w:rsid w:val="000C4ECD"/>
    <w:rsid w:val="000C4F2F"/>
    <w:rsid w:val="000C50C0"/>
    <w:rsid w:val="000C513D"/>
    <w:rsid w:val="000C5343"/>
    <w:rsid w:val="000C53A1"/>
    <w:rsid w:val="000C556D"/>
    <w:rsid w:val="000C58FC"/>
    <w:rsid w:val="000C5AFE"/>
    <w:rsid w:val="000C5B0A"/>
    <w:rsid w:val="000C5B6B"/>
    <w:rsid w:val="000C5BD2"/>
    <w:rsid w:val="000C6415"/>
    <w:rsid w:val="000C64C0"/>
    <w:rsid w:val="000C6A81"/>
    <w:rsid w:val="000C6BDA"/>
    <w:rsid w:val="000C6E60"/>
    <w:rsid w:val="000C6F96"/>
    <w:rsid w:val="000C751F"/>
    <w:rsid w:val="000C78F5"/>
    <w:rsid w:val="000C7A0C"/>
    <w:rsid w:val="000C7A3C"/>
    <w:rsid w:val="000C7AE4"/>
    <w:rsid w:val="000D0C2E"/>
    <w:rsid w:val="000D11A2"/>
    <w:rsid w:val="000D121B"/>
    <w:rsid w:val="000D1629"/>
    <w:rsid w:val="000D1708"/>
    <w:rsid w:val="000D17F4"/>
    <w:rsid w:val="000D1B9D"/>
    <w:rsid w:val="000D211B"/>
    <w:rsid w:val="000D2943"/>
    <w:rsid w:val="000D3677"/>
    <w:rsid w:val="000D37BF"/>
    <w:rsid w:val="000D3BE5"/>
    <w:rsid w:val="000D3F2D"/>
    <w:rsid w:val="000D3FD9"/>
    <w:rsid w:val="000D40CE"/>
    <w:rsid w:val="000D446A"/>
    <w:rsid w:val="000D4481"/>
    <w:rsid w:val="000D4492"/>
    <w:rsid w:val="000D463D"/>
    <w:rsid w:val="000D4979"/>
    <w:rsid w:val="000D4ECB"/>
    <w:rsid w:val="000D4F5B"/>
    <w:rsid w:val="000D5832"/>
    <w:rsid w:val="000D587C"/>
    <w:rsid w:val="000D592D"/>
    <w:rsid w:val="000D5942"/>
    <w:rsid w:val="000D5A96"/>
    <w:rsid w:val="000D5EAA"/>
    <w:rsid w:val="000D5FB2"/>
    <w:rsid w:val="000D61F2"/>
    <w:rsid w:val="000D634B"/>
    <w:rsid w:val="000D648D"/>
    <w:rsid w:val="000D6569"/>
    <w:rsid w:val="000D6585"/>
    <w:rsid w:val="000D658D"/>
    <w:rsid w:val="000D6761"/>
    <w:rsid w:val="000D679A"/>
    <w:rsid w:val="000D6B11"/>
    <w:rsid w:val="000D6C0B"/>
    <w:rsid w:val="000D6D50"/>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1E4"/>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4A9"/>
    <w:rsid w:val="000E46D5"/>
    <w:rsid w:val="000E4935"/>
    <w:rsid w:val="000E4B60"/>
    <w:rsid w:val="000E4F3C"/>
    <w:rsid w:val="000E52D7"/>
    <w:rsid w:val="000E549D"/>
    <w:rsid w:val="000E54D2"/>
    <w:rsid w:val="000E597D"/>
    <w:rsid w:val="000E5AFB"/>
    <w:rsid w:val="000E5B83"/>
    <w:rsid w:val="000E5CDE"/>
    <w:rsid w:val="000E5FA7"/>
    <w:rsid w:val="000E609A"/>
    <w:rsid w:val="000E6165"/>
    <w:rsid w:val="000E6305"/>
    <w:rsid w:val="000E6315"/>
    <w:rsid w:val="000E6834"/>
    <w:rsid w:val="000E6BC5"/>
    <w:rsid w:val="000E6CF9"/>
    <w:rsid w:val="000E6DA0"/>
    <w:rsid w:val="000E6FED"/>
    <w:rsid w:val="000E7101"/>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C6"/>
    <w:rsid w:val="000F2586"/>
    <w:rsid w:val="000F271E"/>
    <w:rsid w:val="000F281A"/>
    <w:rsid w:val="000F29BD"/>
    <w:rsid w:val="000F2D04"/>
    <w:rsid w:val="000F2F1A"/>
    <w:rsid w:val="000F3041"/>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D0F"/>
    <w:rsid w:val="000F6F4A"/>
    <w:rsid w:val="000F6F63"/>
    <w:rsid w:val="000F7055"/>
    <w:rsid w:val="000F72F5"/>
    <w:rsid w:val="000F7328"/>
    <w:rsid w:val="000F7565"/>
    <w:rsid w:val="000F7878"/>
    <w:rsid w:val="00100143"/>
    <w:rsid w:val="00100214"/>
    <w:rsid w:val="0010027C"/>
    <w:rsid w:val="0010036E"/>
    <w:rsid w:val="0010046C"/>
    <w:rsid w:val="001004B2"/>
    <w:rsid w:val="00100553"/>
    <w:rsid w:val="001005BE"/>
    <w:rsid w:val="0010068C"/>
    <w:rsid w:val="001006E3"/>
    <w:rsid w:val="00100B26"/>
    <w:rsid w:val="00101018"/>
    <w:rsid w:val="00101041"/>
    <w:rsid w:val="001010E1"/>
    <w:rsid w:val="001010EF"/>
    <w:rsid w:val="001012F4"/>
    <w:rsid w:val="00101333"/>
    <w:rsid w:val="001013D8"/>
    <w:rsid w:val="001016D4"/>
    <w:rsid w:val="00101706"/>
    <w:rsid w:val="00101C8E"/>
    <w:rsid w:val="00101E79"/>
    <w:rsid w:val="0010229B"/>
    <w:rsid w:val="00102D0F"/>
    <w:rsid w:val="00102D2B"/>
    <w:rsid w:val="00102F2D"/>
    <w:rsid w:val="001030EF"/>
    <w:rsid w:val="00103771"/>
    <w:rsid w:val="00103833"/>
    <w:rsid w:val="00104096"/>
    <w:rsid w:val="00104548"/>
    <w:rsid w:val="001045C1"/>
    <w:rsid w:val="001048EB"/>
    <w:rsid w:val="00104AB3"/>
    <w:rsid w:val="00104BD2"/>
    <w:rsid w:val="00104D59"/>
    <w:rsid w:val="00104DD7"/>
    <w:rsid w:val="00104DFF"/>
    <w:rsid w:val="00104E40"/>
    <w:rsid w:val="00104EC4"/>
    <w:rsid w:val="00104FA9"/>
    <w:rsid w:val="00105088"/>
    <w:rsid w:val="00105118"/>
    <w:rsid w:val="00105349"/>
    <w:rsid w:val="001054EB"/>
    <w:rsid w:val="001054F4"/>
    <w:rsid w:val="001055AF"/>
    <w:rsid w:val="00106037"/>
    <w:rsid w:val="00106431"/>
    <w:rsid w:val="00106699"/>
    <w:rsid w:val="00106F20"/>
    <w:rsid w:val="00107175"/>
    <w:rsid w:val="00107183"/>
    <w:rsid w:val="001071DF"/>
    <w:rsid w:val="00107362"/>
    <w:rsid w:val="001076C4"/>
    <w:rsid w:val="00107BCF"/>
    <w:rsid w:val="00107BE0"/>
    <w:rsid w:val="00110103"/>
    <w:rsid w:val="001102E6"/>
    <w:rsid w:val="00110631"/>
    <w:rsid w:val="00110925"/>
    <w:rsid w:val="00110E7D"/>
    <w:rsid w:val="0011123E"/>
    <w:rsid w:val="00111251"/>
    <w:rsid w:val="0011189E"/>
    <w:rsid w:val="00111A07"/>
    <w:rsid w:val="001121E8"/>
    <w:rsid w:val="00112302"/>
    <w:rsid w:val="001124F9"/>
    <w:rsid w:val="00112685"/>
    <w:rsid w:val="0011277E"/>
    <w:rsid w:val="00112C36"/>
    <w:rsid w:val="00113305"/>
    <w:rsid w:val="00113B8A"/>
    <w:rsid w:val="00113E60"/>
    <w:rsid w:val="00114336"/>
    <w:rsid w:val="00114389"/>
    <w:rsid w:val="00114523"/>
    <w:rsid w:val="0011462B"/>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5C2"/>
    <w:rsid w:val="00121695"/>
    <w:rsid w:val="00121798"/>
    <w:rsid w:val="001218EA"/>
    <w:rsid w:val="00121AC3"/>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4F38"/>
    <w:rsid w:val="001251B1"/>
    <w:rsid w:val="001251BD"/>
    <w:rsid w:val="00125201"/>
    <w:rsid w:val="00125463"/>
    <w:rsid w:val="00125515"/>
    <w:rsid w:val="001255A7"/>
    <w:rsid w:val="001255B2"/>
    <w:rsid w:val="0012582B"/>
    <w:rsid w:val="00125DC2"/>
    <w:rsid w:val="00125E2A"/>
    <w:rsid w:val="0012647A"/>
    <w:rsid w:val="00126480"/>
    <w:rsid w:val="001266BA"/>
    <w:rsid w:val="00126C68"/>
    <w:rsid w:val="00126C97"/>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E67"/>
    <w:rsid w:val="00132FAB"/>
    <w:rsid w:val="00133129"/>
    <w:rsid w:val="001335A7"/>
    <w:rsid w:val="001335C1"/>
    <w:rsid w:val="001335EA"/>
    <w:rsid w:val="001339B6"/>
    <w:rsid w:val="00133AD8"/>
    <w:rsid w:val="00133C49"/>
    <w:rsid w:val="00134082"/>
    <w:rsid w:val="0013430F"/>
    <w:rsid w:val="001344B8"/>
    <w:rsid w:val="001345E2"/>
    <w:rsid w:val="00134620"/>
    <w:rsid w:val="00135111"/>
    <w:rsid w:val="00135612"/>
    <w:rsid w:val="001357BA"/>
    <w:rsid w:val="00135801"/>
    <w:rsid w:val="00135843"/>
    <w:rsid w:val="0013586A"/>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4A7"/>
    <w:rsid w:val="001425FE"/>
    <w:rsid w:val="0014263B"/>
    <w:rsid w:val="0014269E"/>
    <w:rsid w:val="001427DF"/>
    <w:rsid w:val="001428E8"/>
    <w:rsid w:val="00142AAA"/>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D7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0B2"/>
    <w:rsid w:val="001517C5"/>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742"/>
    <w:rsid w:val="00155887"/>
    <w:rsid w:val="00155968"/>
    <w:rsid w:val="00155ACC"/>
    <w:rsid w:val="00156237"/>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890"/>
    <w:rsid w:val="00165B03"/>
    <w:rsid w:val="00165C5C"/>
    <w:rsid w:val="00165F58"/>
    <w:rsid w:val="001663E1"/>
    <w:rsid w:val="00166485"/>
    <w:rsid w:val="001665A0"/>
    <w:rsid w:val="00166659"/>
    <w:rsid w:val="001669E5"/>
    <w:rsid w:val="00166C90"/>
    <w:rsid w:val="00166E49"/>
    <w:rsid w:val="00166EFA"/>
    <w:rsid w:val="001674ED"/>
    <w:rsid w:val="0016798D"/>
    <w:rsid w:val="001679D5"/>
    <w:rsid w:val="00167D28"/>
    <w:rsid w:val="00167DC6"/>
    <w:rsid w:val="00167DD8"/>
    <w:rsid w:val="00167EBA"/>
    <w:rsid w:val="0017043E"/>
    <w:rsid w:val="0017044B"/>
    <w:rsid w:val="001705CE"/>
    <w:rsid w:val="0017092A"/>
    <w:rsid w:val="00170EF0"/>
    <w:rsid w:val="00170F55"/>
    <w:rsid w:val="0017103E"/>
    <w:rsid w:val="001711B4"/>
    <w:rsid w:val="00171677"/>
    <w:rsid w:val="00171776"/>
    <w:rsid w:val="001719BD"/>
    <w:rsid w:val="001719E3"/>
    <w:rsid w:val="00171D82"/>
    <w:rsid w:val="00171EE9"/>
    <w:rsid w:val="00172053"/>
    <w:rsid w:val="0017227B"/>
    <w:rsid w:val="001722FC"/>
    <w:rsid w:val="00172685"/>
    <w:rsid w:val="00172715"/>
    <w:rsid w:val="00172814"/>
    <w:rsid w:val="00172A27"/>
    <w:rsid w:val="00172ACA"/>
    <w:rsid w:val="00172C9C"/>
    <w:rsid w:val="00172D65"/>
    <w:rsid w:val="00172D83"/>
    <w:rsid w:val="00173095"/>
    <w:rsid w:val="00173748"/>
    <w:rsid w:val="00173779"/>
    <w:rsid w:val="0017388B"/>
    <w:rsid w:val="00173A71"/>
    <w:rsid w:val="00173C41"/>
    <w:rsid w:val="00173C9C"/>
    <w:rsid w:val="00174157"/>
    <w:rsid w:val="00174237"/>
    <w:rsid w:val="001745B7"/>
    <w:rsid w:val="001747C9"/>
    <w:rsid w:val="00174804"/>
    <w:rsid w:val="001748B9"/>
    <w:rsid w:val="00174A48"/>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BC1"/>
    <w:rsid w:val="00177D21"/>
    <w:rsid w:val="00177F20"/>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C33"/>
    <w:rsid w:val="00181DC8"/>
    <w:rsid w:val="00181EA9"/>
    <w:rsid w:val="00182129"/>
    <w:rsid w:val="00182190"/>
    <w:rsid w:val="001824EC"/>
    <w:rsid w:val="00182560"/>
    <w:rsid w:val="0018289E"/>
    <w:rsid w:val="001829F9"/>
    <w:rsid w:val="00182DB0"/>
    <w:rsid w:val="00183098"/>
    <w:rsid w:val="00183351"/>
    <w:rsid w:val="00183474"/>
    <w:rsid w:val="001834B7"/>
    <w:rsid w:val="001835F9"/>
    <w:rsid w:val="0018382B"/>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5F5C"/>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22"/>
    <w:rsid w:val="00187FE4"/>
    <w:rsid w:val="00190172"/>
    <w:rsid w:val="00190234"/>
    <w:rsid w:val="001906AF"/>
    <w:rsid w:val="001907DA"/>
    <w:rsid w:val="00190911"/>
    <w:rsid w:val="00190B4B"/>
    <w:rsid w:val="00190BEC"/>
    <w:rsid w:val="00190D97"/>
    <w:rsid w:val="0019104C"/>
    <w:rsid w:val="001911DE"/>
    <w:rsid w:val="001912A2"/>
    <w:rsid w:val="0019141D"/>
    <w:rsid w:val="0019175F"/>
    <w:rsid w:val="00191956"/>
    <w:rsid w:val="00192064"/>
    <w:rsid w:val="0019212D"/>
    <w:rsid w:val="001921AF"/>
    <w:rsid w:val="001925C4"/>
    <w:rsid w:val="00192647"/>
    <w:rsid w:val="0019293D"/>
    <w:rsid w:val="00192B30"/>
    <w:rsid w:val="00192BC6"/>
    <w:rsid w:val="00192EC0"/>
    <w:rsid w:val="00193040"/>
    <w:rsid w:val="0019330C"/>
    <w:rsid w:val="00193A0A"/>
    <w:rsid w:val="00194813"/>
    <w:rsid w:val="00194D22"/>
    <w:rsid w:val="00194F70"/>
    <w:rsid w:val="0019508B"/>
    <w:rsid w:val="0019530F"/>
    <w:rsid w:val="001956BB"/>
    <w:rsid w:val="00195AC9"/>
    <w:rsid w:val="00195F55"/>
    <w:rsid w:val="00196164"/>
    <w:rsid w:val="001961B7"/>
    <w:rsid w:val="00196639"/>
    <w:rsid w:val="0019675D"/>
    <w:rsid w:val="001967C7"/>
    <w:rsid w:val="00196924"/>
    <w:rsid w:val="00196E40"/>
    <w:rsid w:val="00196EF1"/>
    <w:rsid w:val="0019730B"/>
    <w:rsid w:val="00197378"/>
    <w:rsid w:val="0019764F"/>
    <w:rsid w:val="00197BCB"/>
    <w:rsid w:val="00197C4B"/>
    <w:rsid w:val="00197CBE"/>
    <w:rsid w:val="00197E43"/>
    <w:rsid w:val="00197FF8"/>
    <w:rsid w:val="001A03C0"/>
    <w:rsid w:val="001A0BF9"/>
    <w:rsid w:val="001A11AE"/>
    <w:rsid w:val="001A11DC"/>
    <w:rsid w:val="001A176D"/>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799"/>
    <w:rsid w:val="001A499F"/>
    <w:rsid w:val="001A4A05"/>
    <w:rsid w:val="001A4BB9"/>
    <w:rsid w:val="001A513E"/>
    <w:rsid w:val="001A522C"/>
    <w:rsid w:val="001A5331"/>
    <w:rsid w:val="001A549E"/>
    <w:rsid w:val="001A54F9"/>
    <w:rsid w:val="001A55B8"/>
    <w:rsid w:val="001A5635"/>
    <w:rsid w:val="001A5B3D"/>
    <w:rsid w:val="001A5C1B"/>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6C8"/>
    <w:rsid w:val="001B086E"/>
    <w:rsid w:val="001B0B08"/>
    <w:rsid w:val="001B0D0A"/>
    <w:rsid w:val="001B0DC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B10"/>
    <w:rsid w:val="001B5D47"/>
    <w:rsid w:val="001B5E9A"/>
    <w:rsid w:val="001B5F20"/>
    <w:rsid w:val="001B6041"/>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C5B"/>
    <w:rsid w:val="001C1E9C"/>
    <w:rsid w:val="001C200D"/>
    <w:rsid w:val="001C2098"/>
    <w:rsid w:val="001C24B4"/>
    <w:rsid w:val="001C24CB"/>
    <w:rsid w:val="001C2E9C"/>
    <w:rsid w:val="001C3207"/>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C"/>
    <w:rsid w:val="001C717F"/>
    <w:rsid w:val="001C73AD"/>
    <w:rsid w:val="001C73D3"/>
    <w:rsid w:val="001C7BEA"/>
    <w:rsid w:val="001C7F50"/>
    <w:rsid w:val="001C7F58"/>
    <w:rsid w:val="001D05B0"/>
    <w:rsid w:val="001D0969"/>
    <w:rsid w:val="001D0AFA"/>
    <w:rsid w:val="001D0D46"/>
    <w:rsid w:val="001D0F06"/>
    <w:rsid w:val="001D10DB"/>
    <w:rsid w:val="001D1182"/>
    <w:rsid w:val="001D11CA"/>
    <w:rsid w:val="001D13F2"/>
    <w:rsid w:val="001D157D"/>
    <w:rsid w:val="001D16D0"/>
    <w:rsid w:val="001D1759"/>
    <w:rsid w:val="001D19A5"/>
    <w:rsid w:val="001D1A02"/>
    <w:rsid w:val="001D1EB8"/>
    <w:rsid w:val="001D206A"/>
    <w:rsid w:val="001D2985"/>
    <w:rsid w:val="001D2AC6"/>
    <w:rsid w:val="001D2F6B"/>
    <w:rsid w:val="001D3203"/>
    <w:rsid w:val="001D34F1"/>
    <w:rsid w:val="001D36D6"/>
    <w:rsid w:val="001D3B85"/>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B68"/>
    <w:rsid w:val="001E2DA3"/>
    <w:rsid w:val="001E2ED4"/>
    <w:rsid w:val="001E334A"/>
    <w:rsid w:val="001E364E"/>
    <w:rsid w:val="001E3729"/>
    <w:rsid w:val="001E3BCD"/>
    <w:rsid w:val="001E3C4C"/>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C7A"/>
    <w:rsid w:val="001F0E75"/>
    <w:rsid w:val="001F0FA8"/>
    <w:rsid w:val="001F12C8"/>
    <w:rsid w:val="001F1425"/>
    <w:rsid w:val="001F1AE0"/>
    <w:rsid w:val="001F1CE8"/>
    <w:rsid w:val="001F21A7"/>
    <w:rsid w:val="001F21F0"/>
    <w:rsid w:val="001F251F"/>
    <w:rsid w:val="001F2630"/>
    <w:rsid w:val="001F28BB"/>
    <w:rsid w:val="001F2AD7"/>
    <w:rsid w:val="001F2D3F"/>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5E31"/>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1F7FCE"/>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7F"/>
    <w:rsid w:val="00204EBE"/>
    <w:rsid w:val="00204EE8"/>
    <w:rsid w:val="00204FAE"/>
    <w:rsid w:val="002053FA"/>
    <w:rsid w:val="0020549B"/>
    <w:rsid w:val="00205BFB"/>
    <w:rsid w:val="00205C1A"/>
    <w:rsid w:val="00205FF6"/>
    <w:rsid w:val="0020611C"/>
    <w:rsid w:val="00206135"/>
    <w:rsid w:val="00206839"/>
    <w:rsid w:val="00206DA5"/>
    <w:rsid w:val="002074FE"/>
    <w:rsid w:val="00207603"/>
    <w:rsid w:val="00207855"/>
    <w:rsid w:val="00207908"/>
    <w:rsid w:val="00207D7D"/>
    <w:rsid w:val="00207F1E"/>
    <w:rsid w:val="00210284"/>
    <w:rsid w:val="0021029A"/>
    <w:rsid w:val="002103D2"/>
    <w:rsid w:val="002104D8"/>
    <w:rsid w:val="00210532"/>
    <w:rsid w:val="00210567"/>
    <w:rsid w:val="002105C6"/>
    <w:rsid w:val="00210B63"/>
    <w:rsid w:val="00210CF1"/>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330"/>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A7B"/>
    <w:rsid w:val="00230251"/>
    <w:rsid w:val="00230482"/>
    <w:rsid w:val="0023056F"/>
    <w:rsid w:val="002308D8"/>
    <w:rsid w:val="0023093E"/>
    <w:rsid w:val="00230D90"/>
    <w:rsid w:val="0023129E"/>
    <w:rsid w:val="002312D9"/>
    <w:rsid w:val="00231378"/>
    <w:rsid w:val="00231AE2"/>
    <w:rsid w:val="00231BE4"/>
    <w:rsid w:val="00231C1E"/>
    <w:rsid w:val="00231CEB"/>
    <w:rsid w:val="00231D69"/>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95"/>
    <w:rsid w:val="002351D8"/>
    <w:rsid w:val="00235A49"/>
    <w:rsid w:val="00235BB3"/>
    <w:rsid w:val="00235CA9"/>
    <w:rsid w:val="00235EC8"/>
    <w:rsid w:val="00235F9C"/>
    <w:rsid w:val="00236094"/>
    <w:rsid w:val="002362D5"/>
    <w:rsid w:val="002367EF"/>
    <w:rsid w:val="002369B2"/>
    <w:rsid w:val="00236B1E"/>
    <w:rsid w:val="00236B41"/>
    <w:rsid w:val="00236C4B"/>
    <w:rsid w:val="00236CB0"/>
    <w:rsid w:val="00236F5E"/>
    <w:rsid w:val="00237040"/>
    <w:rsid w:val="00237139"/>
    <w:rsid w:val="002372A8"/>
    <w:rsid w:val="0023742F"/>
    <w:rsid w:val="002374CE"/>
    <w:rsid w:val="0023778E"/>
    <w:rsid w:val="0023784C"/>
    <w:rsid w:val="00237F7E"/>
    <w:rsid w:val="002402C0"/>
    <w:rsid w:val="00240405"/>
    <w:rsid w:val="0024056D"/>
    <w:rsid w:val="00240773"/>
    <w:rsid w:val="00240A90"/>
    <w:rsid w:val="00240C3D"/>
    <w:rsid w:val="00240D8E"/>
    <w:rsid w:val="002410D7"/>
    <w:rsid w:val="002410E9"/>
    <w:rsid w:val="002415EB"/>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34A"/>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A86"/>
    <w:rsid w:val="00246B66"/>
    <w:rsid w:val="00246F00"/>
    <w:rsid w:val="00247284"/>
    <w:rsid w:val="00247850"/>
    <w:rsid w:val="00247CE7"/>
    <w:rsid w:val="00247D12"/>
    <w:rsid w:val="00247DEA"/>
    <w:rsid w:val="00247DF0"/>
    <w:rsid w:val="00247F83"/>
    <w:rsid w:val="00250170"/>
    <w:rsid w:val="00250404"/>
    <w:rsid w:val="0025053C"/>
    <w:rsid w:val="00250877"/>
    <w:rsid w:val="002508B6"/>
    <w:rsid w:val="00250993"/>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85B"/>
    <w:rsid w:val="00262973"/>
    <w:rsid w:val="00262A86"/>
    <w:rsid w:val="00262ED0"/>
    <w:rsid w:val="00263001"/>
    <w:rsid w:val="0026308B"/>
    <w:rsid w:val="002630C3"/>
    <w:rsid w:val="00263355"/>
    <w:rsid w:val="002634C3"/>
    <w:rsid w:val="002637AF"/>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538"/>
    <w:rsid w:val="00270724"/>
    <w:rsid w:val="0027086D"/>
    <w:rsid w:val="00270C18"/>
    <w:rsid w:val="00270D9D"/>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02"/>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77CC1"/>
    <w:rsid w:val="00280041"/>
    <w:rsid w:val="00280049"/>
    <w:rsid w:val="002800E4"/>
    <w:rsid w:val="0028088B"/>
    <w:rsid w:val="002809E4"/>
    <w:rsid w:val="00280D6F"/>
    <w:rsid w:val="00280DF7"/>
    <w:rsid w:val="00280FD1"/>
    <w:rsid w:val="00281283"/>
    <w:rsid w:val="002812B5"/>
    <w:rsid w:val="0028141E"/>
    <w:rsid w:val="00281705"/>
    <w:rsid w:val="0028174B"/>
    <w:rsid w:val="00281762"/>
    <w:rsid w:val="00281D18"/>
    <w:rsid w:val="0028229F"/>
    <w:rsid w:val="002822C4"/>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0B8"/>
    <w:rsid w:val="00292685"/>
    <w:rsid w:val="002926A8"/>
    <w:rsid w:val="00292841"/>
    <w:rsid w:val="00292BEE"/>
    <w:rsid w:val="00292C95"/>
    <w:rsid w:val="00292CA0"/>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A83"/>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4FB0"/>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B7D2E"/>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6E86"/>
    <w:rsid w:val="002C75A8"/>
    <w:rsid w:val="002C75D0"/>
    <w:rsid w:val="002C7ACC"/>
    <w:rsid w:val="002C7CA9"/>
    <w:rsid w:val="002C7DE2"/>
    <w:rsid w:val="002C7E3B"/>
    <w:rsid w:val="002D0530"/>
    <w:rsid w:val="002D0AA0"/>
    <w:rsid w:val="002D0AAB"/>
    <w:rsid w:val="002D0AD3"/>
    <w:rsid w:val="002D0DC3"/>
    <w:rsid w:val="002D11B1"/>
    <w:rsid w:val="002D11E1"/>
    <w:rsid w:val="002D1F53"/>
    <w:rsid w:val="002D206D"/>
    <w:rsid w:val="002D20CB"/>
    <w:rsid w:val="002D213A"/>
    <w:rsid w:val="002D2261"/>
    <w:rsid w:val="002D230A"/>
    <w:rsid w:val="002D2505"/>
    <w:rsid w:val="002D27A9"/>
    <w:rsid w:val="002D29D7"/>
    <w:rsid w:val="002D2A77"/>
    <w:rsid w:val="002D2D4C"/>
    <w:rsid w:val="002D31FB"/>
    <w:rsid w:val="002D357A"/>
    <w:rsid w:val="002D35A4"/>
    <w:rsid w:val="002D3682"/>
    <w:rsid w:val="002D3842"/>
    <w:rsid w:val="002D3A57"/>
    <w:rsid w:val="002D3DE6"/>
    <w:rsid w:val="002D402A"/>
    <w:rsid w:val="002D4142"/>
    <w:rsid w:val="002D4329"/>
    <w:rsid w:val="002D43D9"/>
    <w:rsid w:val="002D47EF"/>
    <w:rsid w:val="002D48FF"/>
    <w:rsid w:val="002D4B7C"/>
    <w:rsid w:val="002D51E1"/>
    <w:rsid w:val="002D5B14"/>
    <w:rsid w:val="002D5B8B"/>
    <w:rsid w:val="002D6176"/>
    <w:rsid w:val="002D61E2"/>
    <w:rsid w:val="002D6230"/>
    <w:rsid w:val="002D650F"/>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0F5"/>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489"/>
    <w:rsid w:val="002E57DB"/>
    <w:rsid w:val="002E57F0"/>
    <w:rsid w:val="002E58D1"/>
    <w:rsid w:val="002E5AD5"/>
    <w:rsid w:val="002E5CB4"/>
    <w:rsid w:val="002E5F34"/>
    <w:rsid w:val="002E612D"/>
    <w:rsid w:val="002E65CD"/>
    <w:rsid w:val="002E68BD"/>
    <w:rsid w:val="002E6DFF"/>
    <w:rsid w:val="002E6E72"/>
    <w:rsid w:val="002E72D1"/>
    <w:rsid w:val="002E733D"/>
    <w:rsid w:val="002E79FA"/>
    <w:rsid w:val="002E7C62"/>
    <w:rsid w:val="002F0047"/>
    <w:rsid w:val="002F0052"/>
    <w:rsid w:val="002F0095"/>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B1B"/>
    <w:rsid w:val="002F3DB9"/>
    <w:rsid w:val="002F3E6B"/>
    <w:rsid w:val="002F4121"/>
    <w:rsid w:val="002F4367"/>
    <w:rsid w:val="002F45FE"/>
    <w:rsid w:val="002F48D4"/>
    <w:rsid w:val="002F4A44"/>
    <w:rsid w:val="002F4EA5"/>
    <w:rsid w:val="002F4EB7"/>
    <w:rsid w:val="002F522A"/>
    <w:rsid w:val="002F5544"/>
    <w:rsid w:val="002F566B"/>
    <w:rsid w:val="002F5731"/>
    <w:rsid w:val="002F581D"/>
    <w:rsid w:val="002F5FB7"/>
    <w:rsid w:val="002F6250"/>
    <w:rsid w:val="002F62DF"/>
    <w:rsid w:val="002F6706"/>
    <w:rsid w:val="002F690A"/>
    <w:rsid w:val="002F6964"/>
    <w:rsid w:val="002F696B"/>
    <w:rsid w:val="002F6B5D"/>
    <w:rsid w:val="002F70B6"/>
    <w:rsid w:val="002F717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0FBA"/>
    <w:rsid w:val="00301010"/>
    <w:rsid w:val="0030132D"/>
    <w:rsid w:val="0030146D"/>
    <w:rsid w:val="0030158D"/>
    <w:rsid w:val="00301908"/>
    <w:rsid w:val="00301948"/>
    <w:rsid w:val="00301A88"/>
    <w:rsid w:val="00301CEA"/>
    <w:rsid w:val="00301E71"/>
    <w:rsid w:val="00302317"/>
    <w:rsid w:val="0030239A"/>
    <w:rsid w:val="00302465"/>
    <w:rsid w:val="003024D4"/>
    <w:rsid w:val="003026B0"/>
    <w:rsid w:val="003028AF"/>
    <w:rsid w:val="00303227"/>
    <w:rsid w:val="00303437"/>
    <w:rsid w:val="0030350A"/>
    <w:rsid w:val="003037E8"/>
    <w:rsid w:val="003039A2"/>
    <w:rsid w:val="003039DA"/>
    <w:rsid w:val="00303D1F"/>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5DC"/>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74"/>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3C7C"/>
    <w:rsid w:val="00314004"/>
    <w:rsid w:val="00314148"/>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2F89"/>
    <w:rsid w:val="00323032"/>
    <w:rsid w:val="003231D2"/>
    <w:rsid w:val="003237A4"/>
    <w:rsid w:val="00323B0B"/>
    <w:rsid w:val="00323DBA"/>
    <w:rsid w:val="00323F30"/>
    <w:rsid w:val="00324002"/>
    <w:rsid w:val="003240DC"/>
    <w:rsid w:val="00324277"/>
    <w:rsid w:val="003244AE"/>
    <w:rsid w:val="00324587"/>
    <w:rsid w:val="00324785"/>
    <w:rsid w:val="003247AA"/>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4A"/>
    <w:rsid w:val="003277D3"/>
    <w:rsid w:val="00327A2C"/>
    <w:rsid w:val="00327A9A"/>
    <w:rsid w:val="00327CF2"/>
    <w:rsid w:val="00327F28"/>
    <w:rsid w:val="00327F2C"/>
    <w:rsid w:val="00327FEB"/>
    <w:rsid w:val="0033014F"/>
    <w:rsid w:val="003301D1"/>
    <w:rsid w:val="003302F4"/>
    <w:rsid w:val="0033037D"/>
    <w:rsid w:val="003305F4"/>
    <w:rsid w:val="003307C3"/>
    <w:rsid w:val="00330CAC"/>
    <w:rsid w:val="00330D94"/>
    <w:rsid w:val="00330EC6"/>
    <w:rsid w:val="00330F01"/>
    <w:rsid w:val="003311B5"/>
    <w:rsid w:val="00331404"/>
    <w:rsid w:val="00331502"/>
    <w:rsid w:val="00331749"/>
    <w:rsid w:val="003318D6"/>
    <w:rsid w:val="00331E0D"/>
    <w:rsid w:val="0033205A"/>
    <w:rsid w:val="003322B7"/>
    <w:rsid w:val="0033230D"/>
    <w:rsid w:val="00332381"/>
    <w:rsid w:val="003324BC"/>
    <w:rsid w:val="0033265C"/>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B1"/>
    <w:rsid w:val="003347F5"/>
    <w:rsid w:val="00334869"/>
    <w:rsid w:val="00334BBD"/>
    <w:rsid w:val="00334BC5"/>
    <w:rsid w:val="00334EEB"/>
    <w:rsid w:val="00334F06"/>
    <w:rsid w:val="003352B0"/>
    <w:rsid w:val="003353A8"/>
    <w:rsid w:val="00335460"/>
    <w:rsid w:val="003356AF"/>
    <w:rsid w:val="003359CC"/>
    <w:rsid w:val="00335B6A"/>
    <w:rsid w:val="00335E61"/>
    <w:rsid w:val="003361A3"/>
    <w:rsid w:val="0033642D"/>
    <w:rsid w:val="003364EF"/>
    <w:rsid w:val="003366C2"/>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7E4"/>
    <w:rsid w:val="00340813"/>
    <w:rsid w:val="00340B05"/>
    <w:rsid w:val="00340C5E"/>
    <w:rsid w:val="00340CCD"/>
    <w:rsid w:val="00340FCA"/>
    <w:rsid w:val="00341118"/>
    <w:rsid w:val="003411A9"/>
    <w:rsid w:val="00341446"/>
    <w:rsid w:val="00341520"/>
    <w:rsid w:val="003419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AC7"/>
    <w:rsid w:val="00343C41"/>
    <w:rsid w:val="00343CFC"/>
    <w:rsid w:val="00343E05"/>
    <w:rsid w:val="00343E90"/>
    <w:rsid w:val="00344069"/>
    <w:rsid w:val="00344294"/>
    <w:rsid w:val="00344468"/>
    <w:rsid w:val="00344655"/>
    <w:rsid w:val="00344AD6"/>
    <w:rsid w:val="00344E39"/>
    <w:rsid w:val="00345013"/>
    <w:rsid w:val="00345447"/>
    <w:rsid w:val="0034553A"/>
    <w:rsid w:val="003457A1"/>
    <w:rsid w:val="003457C9"/>
    <w:rsid w:val="003457F9"/>
    <w:rsid w:val="00345918"/>
    <w:rsid w:val="0034593E"/>
    <w:rsid w:val="0034595A"/>
    <w:rsid w:val="00345965"/>
    <w:rsid w:val="00345EC3"/>
    <w:rsid w:val="003461F2"/>
    <w:rsid w:val="0034627D"/>
    <w:rsid w:val="003462D4"/>
    <w:rsid w:val="00346384"/>
    <w:rsid w:val="00346407"/>
    <w:rsid w:val="00346D5D"/>
    <w:rsid w:val="00346EA3"/>
    <w:rsid w:val="00346F7D"/>
    <w:rsid w:val="0034709B"/>
    <w:rsid w:val="0034724E"/>
    <w:rsid w:val="00347259"/>
    <w:rsid w:val="0034727C"/>
    <w:rsid w:val="003476BF"/>
    <w:rsid w:val="00347951"/>
    <w:rsid w:val="00347C34"/>
    <w:rsid w:val="00347D28"/>
    <w:rsid w:val="00347DAA"/>
    <w:rsid w:val="00350A9D"/>
    <w:rsid w:val="00350E6D"/>
    <w:rsid w:val="00350F55"/>
    <w:rsid w:val="00351100"/>
    <w:rsid w:val="003512C2"/>
    <w:rsid w:val="00351741"/>
    <w:rsid w:val="0035174E"/>
    <w:rsid w:val="0035175B"/>
    <w:rsid w:val="00351A4A"/>
    <w:rsid w:val="00351BE3"/>
    <w:rsid w:val="00351DB9"/>
    <w:rsid w:val="00351F11"/>
    <w:rsid w:val="003522EF"/>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AC5"/>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BDA"/>
    <w:rsid w:val="00360D5D"/>
    <w:rsid w:val="00361163"/>
    <w:rsid w:val="0036128C"/>
    <w:rsid w:val="0036168D"/>
    <w:rsid w:val="0036198D"/>
    <w:rsid w:val="003619B7"/>
    <w:rsid w:val="00361C30"/>
    <w:rsid w:val="0036205A"/>
    <w:rsid w:val="003620FE"/>
    <w:rsid w:val="0036213C"/>
    <w:rsid w:val="00362D3F"/>
    <w:rsid w:val="00363216"/>
    <w:rsid w:val="003632D5"/>
    <w:rsid w:val="00363BB8"/>
    <w:rsid w:val="00363CDA"/>
    <w:rsid w:val="00364A79"/>
    <w:rsid w:val="00364B92"/>
    <w:rsid w:val="003653B9"/>
    <w:rsid w:val="00365843"/>
    <w:rsid w:val="003658A6"/>
    <w:rsid w:val="00365A30"/>
    <w:rsid w:val="00366226"/>
    <w:rsid w:val="003664F9"/>
    <w:rsid w:val="003666F4"/>
    <w:rsid w:val="00366A65"/>
    <w:rsid w:val="00366FA4"/>
    <w:rsid w:val="0036700A"/>
    <w:rsid w:val="003670D7"/>
    <w:rsid w:val="00367107"/>
    <w:rsid w:val="00367192"/>
    <w:rsid w:val="00370252"/>
    <w:rsid w:val="003702D7"/>
    <w:rsid w:val="0037030E"/>
    <w:rsid w:val="0037032E"/>
    <w:rsid w:val="003704C2"/>
    <w:rsid w:val="00370865"/>
    <w:rsid w:val="003708F4"/>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409"/>
    <w:rsid w:val="00372575"/>
    <w:rsid w:val="00372683"/>
    <w:rsid w:val="00372728"/>
    <w:rsid w:val="003729A1"/>
    <w:rsid w:val="00372C2A"/>
    <w:rsid w:val="00372CB6"/>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43A"/>
    <w:rsid w:val="003757F4"/>
    <w:rsid w:val="00375B88"/>
    <w:rsid w:val="00376230"/>
    <w:rsid w:val="00376264"/>
    <w:rsid w:val="003769CB"/>
    <w:rsid w:val="00376A10"/>
    <w:rsid w:val="00376D39"/>
    <w:rsid w:val="00376EB8"/>
    <w:rsid w:val="00376F5A"/>
    <w:rsid w:val="00376F8B"/>
    <w:rsid w:val="00377131"/>
    <w:rsid w:val="003771EE"/>
    <w:rsid w:val="00377F90"/>
    <w:rsid w:val="00377F99"/>
    <w:rsid w:val="00380215"/>
    <w:rsid w:val="00380856"/>
    <w:rsid w:val="00380939"/>
    <w:rsid w:val="00380B59"/>
    <w:rsid w:val="00380E6D"/>
    <w:rsid w:val="00380FE8"/>
    <w:rsid w:val="00381184"/>
    <w:rsid w:val="00381238"/>
    <w:rsid w:val="00381849"/>
    <w:rsid w:val="003818FC"/>
    <w:rsid w:val="00381AC8"/>
    <w:rsid w:val="00381C9E"/>
    <w:rsid w:val="00382208"/>
    <w:rsid w:val="00382284"/>
    <w:rsid w:val="003825BB"/>
    <w:rsid w:val="0038280E"/>
    <w:rsid w:val="003828F3"/>
    <w:rsid w:val="00382A2F"/>
    <w:rsid w:val="00382C26"/>
    <w:rsid w:val="00382C3A"/>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B1"/>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946"/>
    <w:rsid w:val="00390D2F"/>
    <w:rsid w:val="00390D93"/>
    <w:rsid w:val="00390F2A"/>
    <w:rsid w:val="00391454"/>
    <w:rsid w:val="00391BE9"/>
    <w:rsid w:val="00391D99"/>
    <w:rsid w:val="00392021"/>
    <w:rsid w:val="00392119"/>
    <w:rsid w:val="003923E8"/>
    <w:rsid w:val="003924FA"/>
    <w:rsid w:val="0039269C"/>
    <w:rsid w:val="00392B8C"/>
    <w:rsid w:val="0039310C"/>
    <w:rsid w:val="0039315E"/>
    <w:rsid w:val="003931B9"/>
    <w:rsid w:val="003934E2"/>
    <w:rsid w:val="00393EEE"/>
    <w:rsid w:val="00393F9A"/>
    <w:rsid w:val="00394121"/>
    <w:rsid w:val="0039419A"/>
    <w:rsid w:val="00394395"/>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29"/>
    <w:rsid w:val="00396F7F"/>
    <w:rsid w:val="003971D1"/>
    <w:rsid w:val="0039723B"/>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47E"/>
    <w:rsid w:val="003A2543"/>
    <w:rsid w:val="003A259D"/>
    <w:rsid w:val="003A2A4C"/>
    <w:rsid w:val="003A2AAA"/>
    <w:rsid w:val="003A2B43"/>
    <w:rsid w:val="003A2C04"/>
    <w:rsid w:val="003A2F90"/>
    <w:rsid w:val="003A307D"/>
    <w:rsid w:val="003A3133"/>
    <w:rsid w:val="003A33D8"/>
    <w:rsid w:val="003A34BF"/>
    <w:rsid w:val="003A3803"/>
    <w:rsid w:val="003A3973"/>
    <w:rsid w:val="003A3A84"/>
    <w:rsid w:val="003A4154"/>
    <w:rsid w:val="003A421C"/>
    <w:rsid w:val="003A421D"/>
    <w:rsid w:val="003A4640"/>
    <w:rsid w:val="003A4943"/>
    <w:rsid w:val="003A498F"/>
    <w:rsid w:val="003A4B6B"/>
    <w:rsid w:val="003A4D43"/>
    <w:rsid w:val="003A4E7D"/>
    <w:rsid w:val="003A4ECF"/>
    <w:rsid w:val="003A527C"/>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70"/>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929"/>
    <w:rsid w:val="003B6D0A"/>
    <w:rsid w:val="003B6DD3"/>
    <w:rsid w:val="003B7647"/>
    <w:rsid w:val="003B797B"/>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6CB"/>
    <w:rsid w:val="003C273F"/>
    <w:rsid w:val="003C2972"/>
    <w:rsid w:val="003C29DB"/>
    <w:rsid w:val="003C2CF9"/>
    <w:rsid w:val="003C322E"/>
    <w:rsid w:val="003C3396"/>
    <w:rsid w:val="003C3583"/>
    <w:rsid w:val="003C37C0"/>
    <w:rsid w:val="003C3B8D"/>
    <w:rsid w:val="003C3BCC"/>
    <w:rsid w:val="003C40FB"/>
    <w:rsid w:val="003C4477"/>
    <w:rsid w:val="003C44E0"/>
    <w:rsid w:val="003C4581"/>
    <w:rsid w:val="003C461B"/>
    <w:rsid w:val="003C4723"/>
    <w:rsid w:val="003C4824"/>
    <w:rsid w:val="003C484A"/>
    <w:rsid w:val="003C4F52"/>
    <w:rsid w:val="003C5033"/>
    <w:rsid w:val="003C5513"/>
    <w:rsid w:val="003C56BF"/>
    <w:rsid w:val="003C5714"/>
    <w:rsid w:val="003C58EE"/>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E63"/>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4B8"/>
    <w:rsid w:val="003D5713"/>
    <w:rsid w:val="003D5935"/>
    <w:rsid w:val="003D5BA9"/>
    <w:rsid w:val="003D5E92"/>
    <w:rsid w:val="003D5FC7"/>
    <w:rsid w:val="003D60B3"/>
    <w:rsid w:val="003D6158"/>
    <w:rsid w:val="003D61B6"/>
    <w:rsid w:val="003D6295"/>
    <w:rsid w:val="003D63CF"/>
    <w:rsid w:val="003D6883"/>
    <w:rsid w:val="003D694D"/>
    <w:rsid w:val="003D6E73"/>
    <w:rsid w:val="003D7049"/>
    <w:rsid w:val="003D7321"/>
    <w:rsid w:val="003D74CC"/>
    <w:rsid w:val="003D7807"/>
    <w:rsid w:val="003D79D6"/>
    <w:rsid w:val="003E0199"/>
    <w:rsid w:val="003E02EE"/>
    <w:rsid w:val="003E0358"/>
    <w:rsid w:val="003E0ADC"/>
    <w:rsid w:val="003E13D9"/>
    <w:rsid w:val="003E16A8"/>
    <w:rsid w:val="003E1907"/>
    <w:rsid w:val="003E1948"/>
    <w:rsid w:val="003E2253"/>
    <w:rsid w:val="003E233C"/>
    <w:rsid w:val="003E2523"/>
    <w:rsid w:val="003E2A8D"/>
    <w:rsid w:val="003E2ABC"/>
    <w:rsid w:val="003E2C8E"/>
    <w:rsid w:val="003E2D63"/>
    <w:rsid w:val="003E2FFD"/>
    <w:rsid w:val="003E3577"/>
    <w:rsid w:val="003E36B1"/>
    <w:rsid w:val="003E36C7"/>
    <w:rsid w:val="003E37EF"/>
    <w:rsid w:val="003E38A2"/>
    <w:rsid w:val="003E3925"/>
    <w:rsid w:val="003E3AAA"/>
    <w:rsid w:val="003E3C46"/>
    <w:rsid w:val="003E3E91"/>
    <w:rsid w:val="003E40D0"/>
    <w:rsid w:val="003E4352"/>
    <w:rsid w:val="003E4361"/>
    <w:rsid w:val="003E46F9"/>
    <w:rsid w:val="003E4752"/>
    <w:rsid w:val="003E47D7"/>
    <w:rsid w:val="003E48F6"/>
    <w:rsid w:val="003E4910"/>
    <w:rsid w:val="003E4AD5"/>
    <w:rsid w:val="003E4D69"/>
    <w:rsid w:val="003E5043"/>
    <w:rsid w:val="003E5090"/>
    <w:rsid w:val="003E571C"/>
    <w:rsid w:val="003E58DD"/>
    <w:rsid w:val="003E5A28"/>
    <w:rsid w:val="003E5F66"/>
    <w:rsid w:val="003E5F7E"/>
    <w:rsid w:val="003E62C6"/>
    <w:rsid w:val="003E65DD"/>
    <w:rsid w:val="003E6895"/>
    <w:rsid w:val="003E6A88"/>
    <w:rsid w:val="003E6B10"/>
    <w:rsid w:val="003E6B51"/>
    <w:rsid w:val="003E73CF"/>
    <w:rsid w:val="003E7426"/>
    <w:rsid w:val="003F0008"/>
    <w:rsid w:val="003F0279"/>
    <w:rsid w:val="003F0326"/>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4F9"/>
    <w:rsid w:val="003F380B"/>
    <w:rsid w:val="003F3839"/>
    <w:rsid w:val="003F3881"/>
    <w:rsid w:val="003F3E16"/>
    <w:rsid w:val="003F44A3"/>
    <w:rsid w:val="003F456E"/>
    <w:rsid w:val="003F4571"/>
    <w:rsid w:val="003F4587"/>
    <w:rsid w:val="003F459C"/>
    <w:rsid w:val="003F47BA"/>
    <w:rsid w:val="003F48C4"/>
    <w:rsid w:val="003F51AE"/>
    <w:rsid w:val="003F51D7"/>
    <w:rsid w:val="003F5395"/>
    <w:rsid w:val="003F5762"/>
    <w:rsid w:val="003F5932"/>
    <w:rsid w:val="003F5A08"/>
    <w:rsid w:val="003F5EAE"/>
    <w:rsid w:val="003F5FE9"/>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48D"/>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26"/>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1D7"/>
    <w:rsid w:val="0041265A"/>
    <w:rsid w:val="004126C8"/>
    <w:rsid w:val="0041294A"/>
    <w:rsid w:val="00412B72"/>
    <w:rsid w:val="00412B7D"/>
    <w:rsid w:val="00412FE1"/>
    <w:rsid w:val="0041301B"/>
    <w:rsid w:val="004130DA"/>
    <w:rsid w:val="00413419"/>
    <w:rsid w:val="00413876"/>
    <w:rsid w:val="00413B93"/>
    <w:rsid w:val="00413E98"/>
    <w:rsid w:val="0041419E"/>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B4B"/>
    <w:rsid w:val="00421C0C"/>
    <w:rsid w:val="00421DBA"/>
    <w:rsid w:val="00422D37"/>
    <w:rsid w:val="00422E61"/>
    <w:rsid w:val="00423435"/>
    <w:rsid w:val="0042352D"/>
    <w:rsid w:val="0042355F"/>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16"/>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0C6"/>
    <w:rsid w:val="0043115E"/>
    <w:rsid w:val="00431A5E"/>
    <w:rsid w:val="00431DB5"/>
    <w:rsid w:val="00431EDD"/>
    <w:rsid w:val="00432133"/>
    <w:rsid w:val="00432360"/>
    <w:rsid w:val="00432692"/>
    <w:rsid w:val="004326B5"/>
    <w:rsid w:val="004329F5"/>
    <w:rsid w:val="00432A24"/>
    <w:rsid w:val="00432E00"/>
    <w:rsid w:val="004335EC"/>
    <w:rsid w:val="00433796"/>
    <w:rsid w:val="00433909"/>
    <w:rsid w:val="00433A6A"/>
    <w:rsid w:val="00433BF0"/>
    <w:rsid w:val="00433E6D"/>
    <w:rsid w:val="0043404A"/>
    <w:rsid w:val="004340C6"/>
    <w:rsid w:val="004345CE"/>
    <w:rsid w:val="004345E6"/>
    <w:rsid w:val="004345F0"/>
    <w:rsid w:val="00434766"/>
    <w:rsid w:val="00434B8E"/>
    <w:rsid w:val="00434E39"/>
    <w:rsid w:val="004352CF"/>
    <w:rsid w:val="0043560C"/>
    <w:rsid w:val="00435C25"/>
    <w:rsid w:val="00436046"/>
    <w:rsid w:val="004360BD"/>
    <w:rsid w:val="0043622F"/>
    <w:rsid w:val="004365FF"/>
    <w:rsid w:val="00436A13"/>
    <w:rsid w:val="004371D4"/>
    <w:rsid w:val="004373DC"/>
    <w:rsid w:val="004375E4"/>
    <w:rsid w:val="00437755"/>
    <w:rsid w:val="004378AB"/>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940"/>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9F1"/>
    <w:rsid w:val="00450B75"/>
    <w:rsid w:val="00450C00"/>
    <w:rsid w:val="00450C84"/>
    <w:rsid w:val="00450F6F"/>
    <w:rsid w:val="00451A38"/>
    <w:rsid w:val="00451ACA"/>
    <w:rsid w:val="00451ADC"/>
    <w:rsid w:val="00452015"/>
    <w:rsid w:val="00452176"/>
    <w:rsid w:val="0045219E"/>
    <w:rsid w:val="004524E3"/>
    <w:rsid w:val="004525E6"/>
    <w:rsid w:val="004525FA"/>
    <w:rsid w:val="00452B58"/>
    <w:rsid w:val="00452B8E"/>
    <w:rsid w:val="00452B9D"/>
    <w:rsid w:val="00452C58"/>
    <w:rsid w:val="00452DCB"/>
    <w:rsid w:val="004532E9"/>
    <w:rsid w:val="004535AC"/>
    <w:rsid w:val="00453808"/>
    <w:rsid w:val="00453AFE"/>
    <w:rsid w:val="00453D1D"/>
    <w:rsid w:val="00454653"/>
    <w:rsid w:val="004546FB"/>
    <w:rsid w:val="004549C3"/>
    <w:rsid w:val="00454E3A"/>
    <w:rsid w:val="00455112"/>
    <w:rsid w:val="004551BA"/>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3B"/>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6B2"/>
    <w:rsid w:val="0046475D"/>
    <w:rsid w:val="00464A49"/>
    <w:rsid w:val="00464D03"/>
    <w:rsid w:val="00464D42"/>
    <w:rsid w:val="00464E30"/>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A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2EA0"/>
    <w:rsid w:val="00483085"/>
    <w:rsid w:val="00483157"/>
    <w:rsid w:val="004831A9"/>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7F"/>
    <w:rsid w:val="00484CDE"/>
    <w:rsid w:val="00484D1E"/>
    <w:rsid w:val="00484E0A"/>
    <w:rsid w:val="00484E52"/>
    <w:rsid w:val="00484F9C"/>
    <w:rsid w:val="00484FF5"/>
    <w:rsid w:val="0048508E"/>
    <w:rsid w:val="004850AF"/>
    <w:rsid w:val="00485245"/>
    <w:rsid w:val="00485303"/>
    <w:rsid w:val="00485391"/>
    <w:rsid w:val="0048573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B34"/>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5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064"/>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011"/>
    <w:rsid w:val="004B11A7"/>
    <w:rsid w:val="004B12D8"/>
    <w:rsid w:val="004B1371"/>
    <w:rsid w:val="004B1ABF"/>
    <w:rsid w:val="004B1B2F"/>
    <w:rsid w:val="004B1D08"/>
    <w:rsid w:val="004B2265"/>
    <w:rsid w:val="004B232F"/>
    <w:rsid w:val="004B271F"/>
    <w:rsid w:val="004B2734"/>
    <w:rsid w:val="004B28CD"/>
    <w:rsid w:val="004B2C74"/>
    <w:rsid w:val="004B2E4A"/>
    <w:rsid w:val="004B2EB8"/>
    <w:rsid w:val="004B3058"/>
    <w:rsid w:val="004B309F"/>
    <w:rsid w:val="004B3191"/>
    <w:rsid w:val="004B31FC"/>
    <w:rsid w:val="004B33FE"/>
    <w:rsid w:val="004B3470"/>
    <w:rsid w:val="004B37C7"/>
    <w:rsid w:val="004B3BAF"/>
    <w:rsid w:val="004B3E1E"/>
    <w:rsid w:val="004B3F3F"/>
    <w:rsid w:val="004B3F78"/>
    <w:rsid w:val="004B3FDA"/>
    <w:rsid w:val="004B42E7"/>
    <w:rsid w:val="004B454A"/>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6EE0"/>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546"/>
    <w:rsid w:val="004C15BE"/>
    <w:rsid w:val="004C19B8"/>
    <w:rsid w:val="004C1C1B"/>
    <w:rsid w:val="004C1FD0"/>
    <w:rsid w:val="004C20BB"/>
    <w:rsid w:val="004C24FE"/>
    <w:rsid w:val="004C2BE2"/>
    <w:rsid w:val="004C2CBE"/>
    <w:rsid w:val="004C2E70"/>
    <w:rsid w:val="004C31A2"/>
    <w:rsid w:val="004C377F"/>
    <w:rsid w:val="004C3AD9"/>
    <w:rsid w:val="004C3AE1"/>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0CD"/>
    <w:rsid w:val="004D0245"/>
    <w:rsid w:val="004D02E2"/>
    <w:rsid w:val="004D02F4"/>
    <w:rsid w:val="004D0530"/>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829"/>
    <w:rsid w:val="004D3BF2"/>
    <w:rsid w:val="004D3E8A"/>
    <w:rsid w:val="004D3E8D"/>
    <w:rsid w:val="004D3F29"/>
    <w:rsid w:val="004D3F48"/>
    <w:rsid w:val="004D40E4"/>
    <w:rsid w:val="004D4459"/>
    <w:rsid w:val="004D4610"/>
    <w:rsid w:val="004D476D"/>
    <w:rsid w:val="004D4946"/>
    <w:rsid w:val="004D52A2"/>
    <w:rsid w:val="004D5552"/>
    <w:rsid w:val="004D5803"/>
    <w:rsid w:val="004D58F7"/>
    <w:rsid w:val="004D5EDD"/>
    <w:rsid w:val="004D6111"/>
    <w:rsid w:val="004D66C1"/>
    <w:rsid w:val="004D68B6"/>
    <w:rsid w:val="004D6988"/>
    <w:rsid w:val="004D6CEF"/>
    <w:rsid w:val="004D6F5C"/>
    <w:rsid w:val="004D72BF"/>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5D9"/>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AD1"/>
    <w:rsid w:val="004E6C94"/>
    <w:rsid w:val="004E6D0B"/>
    <w:rsid w:val="004E6D15"/>
    <w:rsid w:val="004E710C"/>
    <w:rsid w:val="004E73F2"/>
    <w:rsid w:val="004E7AA8"/>
    <w:rsid w:val="004E7B9E"/>
    <w:rsid w:val="004F00C0"/>
    <w:rsid w:val="004F0301"/>
    <w:rsid w:val="004F06EA"/>
    <w:rsid w:val="004F0831"/>
    <w:rsid w:val="004F087B"/>
    <w:rsid w:val="004F087E"/>
    <w:rsid w:val="004F0AD0"/>
    <w:rsid w:val="004F0F6D"/>
    <w:rsid w:val="004F0FE9"/>
    <w:rsid w:val="004F1064"/>
    <w:rsid w:val="004F15AE"/>
    <w:rsid w:val="004F171E"/>
    <w:rsid w:val="004F1913"/>
    <w:rsid w:val="004F1986"/>
    <w:rsid w:val="004F209F"/>
    <w:rsid w:val="004F2190"/>
    <w:rsid w:val="004F223E"/>
    <w:rsid w:val="004F24CF"/>
    <w:rsid w:val="004F27CF"/>
    <w:rsid w:val="004F29F7"/>
    <w:rsid w:val="004F2C4C"/>
    <w:rsid w:val="004F2D8B"/>
    <w:rsid w:val="004F2DD5"/>
    <w:rsid w:val="004F322E"/>
    <w:rsid w:val="004F336F"/>
    <w:rsid w:val="004F376F"/>
    <w:rsid w:val="004F38BB"/>
    <w:rsid w:val="004F39AB"/>
    <w:rsid w:val="004F3AA1"/>
    <w:rsid w:val="004F3B42"/>
    <w:rsid w:val="004F3C7C"/>
    <w:rsid w:val="004F3D50"/>
    <w:rsid w:val="004F3D93"/>
    <w:rsid w:val="004F4146"/>
    <w:rsid w:val="004F41C9"/>
    <w:rsid w:val="004F4493"/>
    <w:rsid w:val="004F4710"/>
    <w:rsid w:val="004F480E"/>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79F"/>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C4"/>
    <w:rsid w:val="00501A30"/>
    <w:rsid w:val="00501BBE"/>
    <w:rsid w:val="00501C78"/>
    <w:rsid w:val="00501F33"/>
    <w:rsid w:val="00501F73"/>
    <w:rsid w:val="0050206E"/>
    <w:rsid w:val="005020E8"/>
    <w:rsid w:val="00502637"/>
    <w:rsid w:val="00502774"/>
    <w:rsid w:val="00502829"/>
    <w:rsid w:val="005028F9"/>
    <w:rsid w:val="00502C79"/>
    <w:rsid w:val="0050345B"/>
    <w:rsid w:val="00503A44"/>
    <w:rsid w:val="00503AF6"/>
    <w:rsid w:val="00503B2A"/>
    <w:rsid w:val="00504A0C"/>
    <w:rsid w:val="00504C66"/>
    <w:rsid w:val="00504E80"/>
    <w:rsid w:val="0050528E"/>
    <w:rsid w:val="00505788"/>
    <w:rsid w:val="00505A8D"/>
    <w:rsid w:val="00505AFE"/>
    <w:rsid w:val="00505B3F"/>
    <w:rsid w:val="00505C32"/>
    <w:rsid w:val="00505D8F"/>
    <w:rsid w:val="00506459"/>
    <w:rsid w:val="005068F8"/>
    <w:rsid w:val="00506A9B"/>
    <w:rsid w:val="00506BB3"/>
    <w:rsid w:val="00507104"/>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48"/>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09"/>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836"/>
    <w:rsid w:val="00513AF1"/>
    <w:rsid w:val="00513D7A"/>
    <w:rsid w:val="005140BC"/>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5DF"/>
    <w:rsid w:val="005177E5"/>
    <w:rsid w:val="0051786E"/>
    <w:rsid w:val="005178BF"/>
    <w:rsid w:val="00517994"/>
    <w:rsid w:val="00517E9F"/>
    <w:rsid w:val="00517EDC"/>
    <w:rsid w:val="00517FA1"/>
    <w:rsid w:val="0052014E"/>
    <w:rsid w:val="00520493"/>
    <w:rsid w:val="0052053A"/>
    <w:rsid w:val="00520969"/>
    <w:rsid w:val="00520BC1"/>
    <w:rsid w:val="00520BDC"/>
    <w:rsid w:val="00520C9E"/>
    <w:rsid w:val="00520E29"/>
    <w:rsid w:val="005211A3"/>
    <w:rsid w:val="005214E6"/>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CD8"/>
    <w:rsid w:val="00527EF8"/>
    <w:rsid w:val="00527F1A"/>
    <w:rsid w:val="00527FC5"/>
    <w:rsid w:val="00530086"/>
    <w:rsid w:val="005304F9"/>
    <w:rsid w:val="00530540"/>
    <w:rsid w:val="00530845"/>
    <w:rsid w:val="005308D6"/>
    <w:rsid w:val="005309B2"/>
    <w:rsid w:val="00530A79"/>
    <w:rsid w:val="00530BC5"/>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65"/>
    <w:rsid w:val="00532FDE"/>
    <w:rsid w:val="00533439"/>
    <w:rsid w:val="005336B4"/>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5EC"/>
    <w:rsid w:val="0054060F"/>
    <w:rsid w:val="005407E0"/>
    <w:rsid w:val="0054093F"/>
    <w:rsid w:val="0054099D"/>
    <w:rsid w:val="00540A60"/>
    <w:rsid w:val="00540ABD"/>
    <w:rsid w:val="00540D67"/>
    <w:rsid w:val="00541179"/>
    <w:rsid w:val="00541687"/>
    <w:rsid w:val="005416F2"/>
    <w:rsid w:val="00541BDD"/>
    <w:rsid w:val="00541C0E"/>
    <w:rsid w:val="0054203D"/>
    <w:rsid w:val="00542251"/>
    <w:rsid w:val="0054252D"/>
    <w:rsid w:val="00542722"/>
    <w:rsid w:val="005427F3"/>
    <w:rsid w:val="00543381"/>
    <w:rsid w:val="0054366E"/>
    <w:rsid w:val="0054369A"/>
    <w:rsid w:val="00543778"/>
    <w:rsid w:val="00543988"/>
    <w:rsid w:val="00544030"/>
    <w:rsid w:val="00544235"/>
    <w:rsid w:val="005442F2"/>
    <w:rsid w:val="005445B7"/>
    <w:rsid w:val="00544655"/>
    <w:rsid w:val="00544665"/>
    <w:rsid w:val="00544757"/>
    <w:rsid w:val="00544DC1"/>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36C"/>
    <w:rsid w:val="00551A4A"/>
    <w:rsid w:val="00551A78"/>
    <w:rsid w:val="00551BD3"/>
    <w:rsid w:val="00551D3D"/>
    <w:rsid w:val="00551F22"/>
    <w:rsid w:val="005520BB"/>
    <w:rsid w:val="005521E0"/>
    <w:rsid w:val="0055234C"/>
    <w:rsid w:val="00552AEE"/>
    <w:rsid w:val="00552E27"/>
    <w:rsid w:val="0055316D"/>
    <w:rsid w:val="00553440"/>
    <w:rsid w:val="00553491"/>
    <w:rsid w:val="005535D8"/>
    <w:rsid w:val="00553793"/>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6E51"/>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BED"/>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CEB"/>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A1"/>
    <w:rsid w:val="005748FB"/>
    <w:rsid w:val="00574D67"/>
    <w:rsid w:val="00575307"/>
    <w:rsid w:val="00575363"/>
    <w:rsid w:val="0057552F"/>
    <w:rsid w:val="005755AC"/>
    <w:rsid w:val="00575610"/>
    <w:rsid w:val="00575696"/>
    <w:rsid w:val="005756F0"/>
    <w:rsid w:val="00575922"/>
    <w:rsid w:val="00575AE5"/>
    <w:rsid w:val="00575CDC"/>
    <w:rsid w:val="00575E0F"/>
    <w:rsid w:val="00575E82"/>
    <w:rsid w:val="00575F09"/>
    <w:rsid w:val="0057667F"/>
    <w:rsid w:val="00576A27"/>
    <w:rsid w:val="00576D33"/>
    <w:rsid w:val="00576D43"/>
    <w:rsid w:val="00576D68"/>
    <w:rsid w:val="00576FB2"/>
    <w:rsid w:val="005771F4"/>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33"/>
    <w:rsid w:val="00593A72"/>
    <w:rsid w:val="00593C92"/>
    <w:rsid w:val="00593E74"/>
    <w:rsid w:val="00593F9B"/>
    <w:rsid w:val="00593FA4"/>
    <w:rsid w:val="00594011"/>
    <w:rsid w:val="0059432F"/>
    <w:rsid w:val="0059456A"/>
    <w:rsid w:val="0059468D"/>
    <w:rsid w:val="00594729"/>
    <w:rsid w:val="005947E5"/>
    <w:rsid w:val="00594894"/>
    <w:rsid w:val="005948E5"/>
    <w:rsid w:val="005948EA"/>
    <w:rsid w:val="00594BE3"/>
    <w:rsid w:val="00594C24"/>
    <w:rsid w:val="00594F06"/>
    <w:rsid w:val="00595072"/>
    <w:rsid w:val="00595138"/>
    <w:rsid w:val="0059515C"/>
    <w:rsid w:val="00595430"/>
    <w:rsid w:val="00595468"/>
    <w:rsid w:val="00595640"/>
    <w:rsid w:val="00595755"/>
    <w:rsid w:val="005958AD"/>
    <w:rsid w:val="00595941"/>
    <w:rsid w:val="00595BAD"/>
    <w:rsid w:val="00595C5E"/>
    <w:rsid w:val="005961BD"/>
    <w:rsid w:val="0059651C"/>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B18"/>
    <w:rsid w:val="005A2D7B"/>
    <w:rsid w:val="005A2D86"/>
    <w:rsid w:val="005A3160"/>
    <w:rsid w:val="005A31F4"/>
    <w:rsid w:val="005A32EC"/>
    <w:rsid w:val="005A3364"/>
    <w:rsid w:val="005A33D8"/>
    <w:rsid w:val="005A354C"/>
    <w:rsid w:val="005A36F9"/>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2D"/>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3E9D"/>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7BE"/>
    <w:rsid w:val="005C080B"/>
    <w:rsid w:val="005C09C2"/>
    <w:rsid w:val="005C0D2E"/>
    <w:rsid w:val="005C1370"/>
    <w:rsid w:val="005C1B32"/>
    <w:rsid w:val="005C20A7"/>
    <w:rsid w:val="005C25A7"/>
    <w:rsid w:val="005C286F"/>
    <w:rsid w:val="005C2A2D"/>
    <w:rsid w:val="005C2B7C"/>
    <w:rsid w:val="005C2CF7"/>
    <w:rsid w:val="005C2F7E"/>
    <w:rsid w:val="005C306F"/>
    <w:rsid w:val="005C3070"/>
    <w:rsid w:val="005C35A0"/>
    <w:rsid w:val="005C38B5"/>
    <w:rsid w:val="005C3ACD"/>
    <w:rsid w:val="005C3DD3"/>
    <w:rsid w:val="005C429E"/>
    <w:rsid w:val="005C4481"/>
    <w:rsid w:val="005C450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64E"/>
    <w:rsid w:val="005D080D"/>
    <w:rsid w:val="005D0922"/>
    <w:rsid w:val="005D09A6"/>
    <w:rsid w:val="005D0B2F"/>
    <w:rsid w:val="005D0BEB"/>
    <w:rsid w:val="005D0D60"/>
    <w:rsid w:val="005D0ECC"/>
    <w:rsid w:val="005D1339"/>
    <w:rsid w:val="005D181D"/>
    <w:rsid w:val="005D18B2"/>
    <w:rsid w:val="005D1D45"/>
    <w:rsid w:val="005D2404"/>
    <w:rsid w:val="005D271F"/>
    <w:rsid w:val="005D295E"/>
    <w:rsid w:val="005D2CEC"/>
    <w:rsid w:val="005D2D36"/>
    <w:rsid w:val="005D310B"/>
    <w:rsid w:val="005D318C"/>
    <w:rsid w:val="005D3310"/>
    <w:rsid w:val="005D3427"/>
    <w:rsid w:val="005D345E"/>
    <w:rsid w:val="005D34DB"/>
    <w:rsid w:val="005D35C9"/>
    <w:rsid w:val="005D397C"/>
    <w:rsid w:val="005D39DA"/>
    <w:rsid w:val="005D3E65"/>
    <w:rsid w:val="005D40EF"/>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529"/>
    <w:rsid w:val="005E0890"/>
    <w:rsid w:val="005E089A"/>
    <w:rsid w:val="005E090A"/>
    <w:rsid w:val="005E0964"/>
    <w:rsid w:val="005E0B23"/>
    <w:rsid w:val="005E0B62"/>
    <w:rsid w:val="005E0DB8"/>
    <w:rsid w:val="005E0E26"/>
    <w:rsid w:val="005E0F8A"/>
    <w:rsid w:val="005E1091"/>
    <w:rsid w:val="005E1227"/>
    <w:rsid w:val="005E1346"/>
    <w:rsid w:val="005E13EF"/>
    <w:rsid w:val="005E1769"/>
    <w:rsid w:val="005E1850"/>
    <w:rsid w:val="005E1888"/>
    <w:rsid w:val="005E1B2D"/>
    <w:rsid w:val="005E1B4D"/>
    <w:rsid w:val="005E1E12"/>
    <w:rsid w:val="005E2122"/>
    <w:rsid w:val="005E2742"/>
    <w:rsid w:val="005E28FA"/>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3EB2"/>
    <w:rsid w:val="005E3FD9"/>
    <w:rsid w:val="005E4203"/>
    <w:rsid w:val="005E4369"/>
    <w:rsid w:val="005E4464"/>
    <w:rsid w:val="005E4582"/>
    <w:rsid w:val="005E468B"/>
    <w:rsid w:val="005E46B4"/>
    <w:rsid w:val="005E4850"/>
    <w:rsid w:val="005E4A42"/>
    <w:rsid w:val="005E4AC0"/>
    <w:rsid w:val="005E4F54"/>
    <w:rsid w:val="005E502E"/>
    <w:rsid w:val="005E57F9"/>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841"/>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121"/>
    <w:rsid w:val="005F3495"/>
    <w:rsid w:val="005F3618"/>
    <w:rsid w:val="005F3627"/>
    <w:rsid w:val="005F36A7"/>
    <w:rsid w:val="005F37F2"/>
    <w:rsid w:val="005F3A81"/>
    <w:rsid w:val="005F3E0E"/>
    <w:rsid w:val="005F410A"/>
    <w:rsid w:val="005F4168"/>
    <w:rsid w:val="005F42DF"/>
    <w:rsid w:val="005F4412"/>
    <w:rsid w:val="005F4539"/>
    <w:rsid w:val="005F5282"/>
    <w:rsid w:val="005F54FB"/>
    <w:rsid w:val="005F5990"/>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7A5"/>
    <w:rsid w:val="005F793A"/>
    <w:rsid w:val="005F7955"/>
    <w:rsid w:val="005F7CC5"/>
    <w:rsid w:val="005F7CF9"/>
    <w:rsid w:val="005F7DA6"/>
    <w:rsid w:val="0060034E"/>
    <w:rsid w:val="0060051C"/>
    <w:rsid w:val="00600E95"/>
    <w:rsid w:val="00600EF0"/>
    <w:rsid w:val="006010DF"/>
    <w:rsid w:val="0060147C"/>
    <w:rsid w:val="006014DF"/>
    <w:rsid w:val="00601666"/>
    <w:rsid w:val="00601B27"/>
    <w:rsid w:val="00601B9B"/>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E88"/>
    <w:rsid w:val="00612FC7"/>
    <w:rsid w:val="00612FE8"/>
    <w:rsid w:val="006130B1"/>
    <w:rsid w:val="00613297"/>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177"/>
    <w:rsid w:val="00616388"/>
    <w:rsid w:val="00616491"/>
    <w:rsid w:val="00616638"/>
    <w:rsid w:val="00616F7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8BD"/>
    <w:rsid w:val="00622AE4"/>
    <w:rsid w:val="00622E2E"/>
    <w:rsid w:val="006231F0"/>
    <w:rsid w:val="00623375"/>
    <w:rsid w:val="0062377F"/>
    <w:rsid w:val="00623896"/>
    <w:rsid w:val="00623AF8"/>
    <w:rsid w:val="00623F24"/>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19"/>
    <w:rsid w:val="00625F7F"/>
    <w:rsid w:val="00626097"/>
    <w:rsid w:val="0062614F"/>
    <w:rsid w:val="0062622B"/>
    <w:rsid w:val="00626654"/>
    <w:rsid w:val="00627316"/>
    <w:rsid w:val="00627663"/>
    <w:rsid w:val="006276C9"/>
    <w:rsid w:val="006279B3"/>
    <w:rsid w:val="006279FE"/>
    <w:rsid w:val="00627ADB"/>
    <w:rsid w:val="00627B4F"/>
    <w:rsid w:val="00627F2E"/>
    <w:rsid w:val="00630032"/>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102"/>
    <w:rsid w:val="00636345"/>
    <w:rsid w:val="00636AF5"/>
    <w:rsid w:val="00636B1E"/>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B0E"/>
    <w:rsid w:val="00641D60"/>
    <w:rsid w:val="00641E93"/>
    <w:rsid w:val="00641EA9"/>
    <w:rsid w:val="00641ED1"/>
    <w:rsid w:val="0064257E"/>
    <w:rsid w:val="00642760"/>
    <w:rsid w:val="0064276F"/>
    <w:rsid w:val="00642E2E"/>
    <w:rsid w:val="00642E6E"/>
    <w:rsid w:val="006431E8"/>
    <w:rsid w:val="00643869"/>
    <w:rsid w:val="00643B24"/>
    <w:rsid w:val="00643BE9"/>
    <w:rsid w:val="0064402C"/>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20F"/>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5D3"/>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55"/>
    <w:rsid w:val="0066369F"/>
    <w:rsid w:val="006637E9"/>
    <w:rsid w:val="00663852"/>
    <w:rsid w:val="00663958"/>
    <w:rsid w:val="00664045"/>
    <w:rsid w:val="00664173"/>
    <w:rsid w:val="00664392"/>
    <w:rsid w:val="00664B15"/>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7FA"/>
    <w:rsid w:val="00671EA6"/>
    <w:rsid w:val="00671F3A"/>
    <w:rsid w:val="0067200C"/>
    <w:rsid w:val="0067204B"/>
    <w:rsid w:val="00672457"/>
    <w:rsid w:val="006726C8"/>
    <w:rsid w:val="00672706"/>
    <w:rsid w:val="006728AC"/>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5D"/>
    <w:rsid w:val="00674760"/>
    <w:rsid w:val="0067481A"/>
    <w:rsid w:val="006749AA"/>
    <w:rsid w:val="00674D4D"/>
    <w:rsid w:val="00674DCD"/>
    <w:rsid w:val="00674EDD"/>
    <w:rsid w:val="00674F7A"/>
    <w:rsid w:val="00675018"/>
    <w:rsid w:val="0067510C"/>
    <w:rsid w:val="0067555B"/>
    <w:rsid w:val="00675B5D"/>
    <w:rsid w:val="00675F54"/>
    <w:rsid w:val="00676102"/>
    <w:rsid w:val="00676382"/>
    <w:rsid w:val="0067638F"/>
    <w:rsid w:val="006766EA"/>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ECE"/>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753"/>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77D"/>
    <w:rsid w:val="00687A00"/>
    <w:rsid w:val="00687F5D"/>
    <w:rsid w:val="0069004E"/>
    <w:rsid w:val="00690574"/>
    <w:rsid w:val="00690623"/>
    <w:rsid w:val="00690915"/>
    <w:rsid w:val="00690D10"/>
    <w:rsid w:val="00690E3D"/>
    <w:rsid w:val="0069130C"/>
    <w:rsid w:val="00691447"/>
    <w:rsid w:val="006914AF"/>
    <w:rsid w:val="006914F6"/>
    <w:rsid w:val="00691548"/>
    <w:rsid w:val="00691620"/>
    <w:rsid w:val="00691D76"/>
    <w:rsid w:val="00691DFA"/>
    <w:rsid w:val="00691ECC"/>
    <w:rsid w:val="006920CC"/>
    <w:rsid w:val="006920F8"/>
    <w:rsid w:val="0069232B"/>
    <w:rsid w:val="0069267C"/>
    <w:rsid w:val="006929E8"/>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E17"/>
    <w:rsid w:val="00695F05"/>
    <w:rsid w:val="00695FD0"/>
    <w:rsid w:val="0069605A"/>
    <w:rsid w:val="006963AB"/>
    <w:rsid w:val="006965E4"/>
    <w:rsid w:val="00696858"/>
    <w:rsid w:val="00696A3A"/>
    <w:rsid w:val="00696BD6"/>
    <w:rsid w:val="00696CAC"/>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01"/>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3AB"/>
    <w:rsid w:val="006A35A7"/>
    <w:rsid w:val="006A35AD"/>
    <w:rsid w:val="006A3851"/>
    <w:rsid w:val="006A4083"/>
    <w:rsid w:val="006A41D7"/>
    <w:rsid w:val="006A425B"/>
    <w:rsid w:val="006A44C9"/>
    <w:rsid w:val="006A46E0"/>
    <w:rsid w:val="006A4D56"/>
    <w:rsid w:val="006A4F71"/>
    <w:rsid w:val="006A4FA6"/>
    <w:rsid w:val="006A5055"/>
    <w:rsid w:val="006A513B"/>
    <w:rsid w:val="006A5160"/>
    <w:rsid w:val="006A528F"/>
    <w:rsid w:val="006A5951"/>
    <w:rsid w:val="006A5D2B"/>
    <w:rsid w:val="006A5EA2"/>
    <w:rsid w:val="006A64F8"/>
    <w:rsid w:val="006A676A"/>
    <w:rsid w:val="006A6FC3"/>
    <w:rsid w:val="006A6FE1"/>
    <w:rsid w:val="006A73B3"/>
    <w:rsid w:val="006A7449"/>
    <w:rsid w:val="006A75E3"/>
    <w:rsid w:val="006A761B"/>
    <w:rsid w:val="006A787B"/>
    <w:rsid w:val="006A79F6"/>
    <w:rsid w:val="006A7BA6"/>
    <w:rsid w:val="006A7C36"/>
    <w:rsid w:val="006A7EAA"/>
    <w:rsid w:val="006B036C"/>
    <w:rsid w:val="006B04EE"/>
    <w:rsid w:val="006B04FD"/>
    <w:rsid w:val="006B09C0"/>
    <w:rsid w:val="006B0A44"/>
    <w:rsid w:val="006B0A6D"/>
    <w:rsid w:val="006B0C12"/>
    <w:rsid w:val="006B0D33"/>
    <w:rsid w:val="006B0F92"/>
    <w:rsid w:val="006B1210"/>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653"/>
    <w:rsid w:val="006B4699"/>
    <w:rsid w:val="006B4A8E"/>
    <w:rsid w:val="006B4AFF"/>
    <w:rsid w:val="006B4D33"/>
    <w:rsid w:val="006B516F"/>
    <w:rsid w:val="006B5538"/>
    <w:rsid w:val="006B5BBF"/>
    <w:rsid w:val="006B614F"/>
    <w:rsid w:val="006B622F"/>
    <w:rsid w:val="006B62F8"/>
    <w:rsid w:val="006B63C1"/>
    <w:rsid w:val="006B64F8"/>
    <w:rsid w:val="006B6841"/>
    <w:rsid w:val="006B694A"/>
    <w:rsid w:val="006B6BFF"/>
    <w:rsid w:val="006B6E9A"/>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1E8"/>
    <w:rsid w:val="006C3233"/>
    <w:rsid w:val="006C352F"/>
    <w:rsid w:val="006C35FA"/>
    <w:rsid w:val="006C3B05"/>
    <w:rsid w:val="006C3B08"/>
    <w:rsid w:val="006C3E29"/>
    <w:rsid w:val="006C3ED0"/>
    <w:rsid w:val="006C443B"/>
    <w:rsid w:val="006C4581"/>
    <w:rsid w:val="006C45B1"/>
    <w:rsid w:val="006C4766"/>
    <w:rsid w:val="006C4B7A"/>
    <w:rsid w:val="006C4C7B"/>
    <w:rsid w:val="006C531F"/>
    <w:rsid w:val="006C53B7"/>
    <w:rsid w:val="006C545F"/>
    <w:rsid w:val="006C5808"/>
    <w:rsid w:val="006C583E"/>
    <w:rsid w:val="006C5A7E"/>
    <w:rsid w:val="006C65C5"/>
    <w:rsid w:val="006C685F"/>
    <w:rsid w:val="006C6B4F"/>
    <w:rsid w:val="006C6DFD"/>
    <w:rsid w:val="006C71A9"/>
    <w:rsid w:val="006C71BD"/>
    <w:rsid w:val="006C72F8"/>
    <w:rsid w:val="006C7404"/>
    <w:rsid w:val="006C7520"/>
    <w:rsid w:val="006C77E4"/>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49F"/>
    <w:rsid w:val="006D364E"/>
    <w:rsid w:val="006D3827"/>
    <w:rsid w:val="006D39A1"/>
    <w:rsid w:val="006D3BAF"/>
    <w:rsid w:val="006D3D2C"/>
    <w:rsid w:val="006D3E69"/>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792"/>
    <w:rsid w:val="006D5F61"/>
    <w:rsid w:val="006D619A"/>
    <w:rsid w:val="006D6463"/>
    <w:rsid w:val="006D651C"/>
    <w:rsid w:val="006D6525"/>
    <w:rsid w:val="006D6632"/>
    <w:rsid w:val="006D6AD3"/>
    <w:rsid w:val="006D6CAC"/>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BEB"/>
    <w:rsid w:val="006E0E45"/>
    <w:rsid w:val="006E14FC"/>
    <w:rsid w:val="006E156A"/>
    <w:rsid w:val="006E158B"/>
    <w:rsid w:val="006E17AC"/>
    <w:rsid w:val="006E17C8"/>
    <w:rsid w:val="006E19FF"/>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D5B"/>
    <w:rsid w:val="006E4E6A"/>
    <w:rsid w:val="006E50BC"/>
    <w:rsid w:val="006E50F8"/>
    <w:rsid w:val="006E5101"/>
    <w:rsid w:val="006E5757"/>
    <w:rsid w:val="006E5ACE"/>
    <w:rsid w:val="006E5CCE"/>
    <w:rsid w:val="006E5DF1"/>
    <w:rsid w:val="006E5E4E"/>
    <w:rsid w:val="006E610C"/>
    <w:rsid w:val="006E611B"/>
    <w:rsid w:val="006E64BB"/>
    <w:rsid w:val="006E672B"/>
    <w:rsid w:val="006E6ADA"/>
    <w:rsid w:val="006E6F78"/>
    <w:rsid w:val="006E6FBA"/>
    <w:rsid w:val="006E6FD3"/>
    <w:rsid w:val="006E718B"/>
    <w:rsid w:val="006E71CB"/>
    <w:rsid w:val="006E7332"/>
    <w:rsid w:val="006E7571"/>
    <w:rsid w:val="006E789D"/>
    <w:rsid w:val="006E79F3"/>
    <w:rsid w:val="006E7A9B"/>
    <w:rsid w:val="006F06B1"/>
    <w:rsid w:val="006F078D"/>
    <w:rsid w:val="006F08FE"/>
    <w:rsid w:val="006F094C"/>
    <w:rsid w:val="006F0950"/>
    <w:rsid w:val="006F0953"/>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9F3"/>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0A3"/>
    <w:rsid w:val="00704124"/>
    <w:rsid w:val="0070455C"/>
    <w:rsid w:val="0070473C"/>
    <w:rsid w:val="00704D56"/>
    <w:rsid w:val="00704F80"/>
    <w:rsid w:val="00705004"/>
    <w:rsid w:val="0070501A"/>
    <w:rsid w:val="00705385"/>
    <w:rsid w:val="007055EE"/>
    <w:rsid w:val="007057E9"/>
    <w:rsid w:val="00705958"/>
    <w:rsid w:val="00705AAC"/>
    <w:rsid w:val="00705C55"/>
    <w:rsid w:val="00706500"/>
    <w:rsid w:val="00706B89"/>
    <w:rsid w:val="00707456"/>
    <w:rsid w:val="0070749D"/>
    <w:rsid w:val="007077F3"/>
    <w:rsid w:val="00707A03"/>
    <w:rsid w:val="00707A0C"/>
    <w:rsid w:val="00707BDE"/>
    <w:rsid w:val="00710143"/>
    <w:rsid w:val="00710173"/>
    <w:rsid w:val="007101A4"/>
    <w:rsid w:val="007102F7"/>
    <w:rsid w:val="00710945"/>
    <w:rsid w:val="00710AB1"/>
    <w:rsid w:val="00710BDA"/>
    <w:rsid w:val="00710F61"/>
    <w:rsid w:val="00710F75"/>
    <w:rsid w:val="00710F8D"/>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98"/>
    <w:rsid w:val="00712BB2"/>
    <w:rsid w:val="00712E03"/>
    <w:rsid w:val="007131FE"/>
    <w:rsid w:val="007132DA"/>
    <w:rsid w:val="00713410"/>
    <w:rsid w:val="007135C2"/>
    <w:rsid w:val="00713B2F"/>
    <w:rsid w:val="007140F6"/>
    <w:rsid w:val="007141F1"/>
    <w:rsid w:val="007142CD"/>
    <w:rsid w:val="00714425"/>
    <w:rsid w:val="00714540"/>
    <w:rsid w:val="0071468F"/>
    <w:rsid w:val="00714818"/>
    <w:rsid w:val="00714824"/>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1D"/>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124"/>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3A1"/>
    <w:rsid w:val="0072594A"/>
    <w:rsid w:val="00725D6A"/>
    <w:rsid w:val="00725EF2"/>
    <w:rsid w:val="00726090"/>
    <w:rsid w:val="00726140"/>
    <w:rsid w:val="007263F0"/>
    <w:rsid w:val="0072649C"/>
    <w:rsid w:val="00726A0F"/>
    <w:rsid w:val="00726C84"/>
    <w:rsid w:val="00726D3A"/>
    <w:rsid w:val="00726D57"/>
    <w:rsid w:val="00726E20"/>
    <w:rsid w:val="0072777C"/>
    <w:rsid w:val="00727BCF"/>
    <w:rsid w:val="00727DC1"/>
    <w:rsid w:val="007304A5"/>
    <w:rsid w:val="0073073E"/>
    <w:rsid w:val="0073090C"/>
    <w:rsid w:val="00730C55"/>
    <w:rsid w:val="00730ED6"/>
    <w:rsid w:val="007311D3"/>
    <w:rsid w:val="007312C3"/>
    <w:rsid w:val="007318AC"/>
    <w:rsid w:val="00731A9B"/>
    <w:rsid w:val="00731AC4"/>
    <w:rsid w:val="00731FE3"/>
    <w:rsid w:val="00732251"/>
    <w:rsid w:val="007324E3"/>
    <w:rsid w:val="007325D6"/>
    <w:rsid w:val="00732A90"/>
    <w:rsid w:val="00732EC4"/>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20E"/>
    <w:rsid w:val="0074332F"/>
    <w:rsid w:val="00743663"/>
    <w:rsid w:val="0074401A"/>
    <w:rsid w:val="0074408C"/>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DFC"/>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397"/>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17E"/>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21B"/>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281"/>
    <w:rsid w:val="0075730F"/>
    <w:rsid w:val="007574CE"/>
    <w:rsid w:val="007574D5"/>
    <w:rsid w:val="007578A6"/>
    <w:rsid w:val="00757902"/>
    <w:rsid w:val="00757C27"/>
    <w:rsid w:val="00757E6F"/>
    <w:rsid w:val="00757E80"/>
    <w:rsid w:val="00760465"/>
    <w:rsid w:val="0076049C"/>
    <w:rsid w:val="007613FE"/>
    <w:rsid w:val="007615BB"/>
    <w:rsid w:val="007616AD"/>
    <w:rsid w:val="00761764"/>
    <w:rsid w:val="007617FD"/>
    <w:rsid w:val="00761806"/>
    <w:rsid w:val="00761AEE"/>
    <w:rsid w:val="00761D11"/>
    <w:rsid w:val="00761D1C"/>
    <w:rsid w:val="00761E64"/>
    <w:rsid w:val="0076202F"/>
    <w:rsid w:val="0076231D"/>
    <w:rsid w:val="00762551"/>
    <w:rsid w:val="007626A6"/>
    <w:rsid w:val="007626DC"/>
    <w:rsid w:val="0076276A"/>
    <w:rsid w:val="00762BB8"/>
    <w:rsid w:val="00762D5F"/>
    <w:rsid w:val="00762D63"/>
    <w:rsid w:val="00762DF1"/>
    <w:rsid w:val="00762DF2"/>
    <w:rsid w:val="00762ECC"/>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922"/>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AB0"/>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9E8"/>
    <w:rsid w:val="00776A2B"/>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2FF1"/>
    <w:rsid w:val="007831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D9B"/>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AC4"/>
    <w:rsid w:val="00791DDF"/>
    <w:rsid w:val="00791EC9"/>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3E38"/>
    <w:rsid w:val="00793FCA"/>
    <w:rsid w:val="007940F1"/>
    <w:rsid w:val="007945E9"/>
    <w:rsid w:val="00794827"/>
    <w:rsid w:val="00794F00"/>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600"/>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9A5"/>
    <w:rsid w:val="007A1A14"/>
    <w:rsid w:val="007A1B06"/>
    <w:rsid w:val="007A1DD1"/>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C3B"/>
    <w:rsid w:val="007A4E8D"/>
    <w:rsid w:val="007A5140"/>
    <w:rsid w:val="007A5AF9"/>
    <w:rsid w:val="007A5F0E"/>
    <w:rsid w:val="007A62F5"/>
    <w:rsid w:val="007A681E"/>
    <w:rsid w:val="007A6AC3"/>
    <w:rsid w:val="007A6BAD"/>
    <w:rsid w:val="007A6BD3"/>
    <w:rsid w:val="007A6E00"/>
    <w:rsid w:val="007A6E89"/>
    <w:rsid w:val="007A6EE3"/>
    <w:rsid w:val="007A6F65"/>
    <w:rsid w:val="007A7019"/>
    <w:rsid w:val="007A71ED"/>
    <w:rsid w:val="007A752E"/>
    <w:rsid w:val="007A765A"/>
    <w:rsid w:val="007A7A58"/>
    <w:rsid w:val="007A7B3E"/>
    <w:rsid w:val="007A7C69"/>
    <w:rsid w:val="007A7E16"/>
    <w:rsid w:val="007A7EB9"/>
    <w:rsid w:val="007B00A8"/>
    <w:rsid w:val="007B0284"/>
    <w:rsid w:val="007B0317"/>
    <w:rsid w:val="007B03FB"/>
    <w:rsid w:val="007B05DD"/>
    <w:rsid w:val="007B06D2"/>
    <w:rsid w:val="007B093D"/>
    <w:rsid w:val="007B0955"/>
    <w:rsid w:val="007B09CE"/>
    <w:rsid w:val="007B0DD6"/>
    <w:rsid w:val="007B1332"/>
    <w:rsid w:val="007B1546"/>
    <w:rsid w:val="007B1549"/>
    <w:rsid w:val="007B161D"/>
    <w:rsid w:val="007B18E7"/>
    <w:rsid w:val="007B1AA9"/>
    <w:rsid w:val="007B1B4B"/>
    <w:rsid w:val="007B1BF9"/>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5E2B"/>
    <w:rsid w:val="007B6056"/>
    <w:rsid w:val="007B610E"/>
    <w:rsid w:val="007B6279"/>
    <w:rsid w:val="007B64C0"/>
    <w:rsid w:val="007B65F8"/>
    <w:rsid w:val="007B677F"/>
    <w:rsid w:val="007B6866"/>
    <w:rsid w:val="007B68FD"/>
    <w:rsid w:val="007B6971"/>
    <w:rsid w:val="007B6BDE"/>
    <w:rsid w:val="007B6BE0"/>
    <w:rsid w:val="007B6DBA"/>
    <w:rsid w:val="007B74CF"/>
    <w:rsid w:val="007B764E"/>
    <w:rsid w:val="007B77F2"/>
    <w:rsid w:val="007B7C4F"/>
    <w:rsid w:val="007B7DA0"/>
    <w:rsid w:val="007B7F08"/>
    <w:rsid w:val="007B7F65"/>
    <w:rsid w:val="007C066E"/>
    <w:rsid w:val="007C0844"/>
    <w:rsid w:val="007C0C49"/>
    <w:rsid w:val="007C0DF7"/>
    <w:rsid w:val="007C12F0"/>
    <w:rsid w:val="007C1446"/>
    <w:rsid w:val="007C15B9"/>
    <w:rsid w:val="007C16D7"/>
    <w:rsid w:val="007C1A2C"/>
    <w:rsid w:val="007C1C81"/>
    <w:rsid w:val="007C1CA9"/>
    <w:rsid w:val="007C1E9D"/>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C1"/>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4C6"/>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C9C"/>
    <w:rsid w:val="007D5EC1"/>
    <w:rsid w:val="007D632A"/>
    <w:rsid w:val="007D636B"/>
    <w:rsid w:val="007D6551"/>
    <w:rsid w:val="007D6800"/>
    <w:rsid w:val="007D6A31"/>
    <w:rsid w:val="007D6A33"/>
    <w:rsid w:val="007D6B45"/>
    <w:rsid w:val="007D70A4"/>
    <w:rsid w:val="007D757A"/>
    <w:rsid w:val="007D7615"/>
    <w:rsid w:val="007D7778"/>
    <w:rsid w:val="007D7B7C"/>
    <w:rsid w:val="007E0045"/>
    <w:rsid w:val="007E0298"/>
    <w:rsid w:val="007E02D5"/>
    <w:rsid w:val="007E0D09"/>
    <w:rsid w:val="007E0F88"/>
    <w:rsid w:val="007E119E"/>
    <w:rsid w:val="007E123C"/>
    <w:rsid w:val="007E150C"/>
    <w:rsid w:val="007E1798"/>
    <w:rsid w:val="007E1ABE"/>
    <w:rsid w:val="007E1C32"/>
    <w:rsid w:val="007E23F8"/>
    <w:rsid w:val="007E240B"/>
    <w:rsid w:val="007E24C9"/>
    <w:rsid w:val="007E2684"/>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CA9"/>
    <w:rsid w:val="007F3477"/>
    <w:rsid w:val="007F367D"/>
    <w:rsid w:val="007F39CB"/>
    <w:rsid w:val="007F3AC0"/>
    <w:rsid w:val="007F3D66"/>
    <w:rsid w:val="007F3DD4"/>
    <w:rsid w:val="007F3F32"/>
    <w:rsid w:val="007F4011"/>
    <w:rsid w:val="007F4095"/>
    <w:rsid w:val="007F41D1"/>
    <w:rsid w:val="007F423F"/>
    <w:rsid w:val="007F4293"/>
    <w:rsid w:val="007F4294"/>
    <w:rsid w:val="007F4AC5"/>
    <w:rsid w:val="007F5805"/>
    <w:rsid w:val="007F59CE"/>
    <w:rsid w:val="007F5C93"/>
    <w:rsid w:val="007F5CB2"/>
    <w:rsid w:val="007F5E23"/>
    <w:rsid w:val="007F6595"/>
    <w:rsid w:val="007F65D2"/>
    <w:rsid w:val="007F665D"/>
    <w:rsid w:val="007F677C"/>
    <w:rsid w:val="007F679C"/>
    <w:rsid w:val="007F6AD1"/>
    <w:rsid w:val="007F6CEB"/>
    <w:rsid w:val="007F6D58"/>
    <w:rsid w:val="007F6E18"/>
    <w:rsid w:val="007F6EB7"/>
    <w:rsid w:val="007F718C"/>
    <w:rsid w:val="007F727E"/>
    <w:rsid w:val="007F73F1"/>
    <w:rsid w:val="007F7512"/>
    <w:rsid w:val="007F75B2"/>
    <w:rsid w:val="007F75C9"/>
    <w:rsid w:val="007F75E6"/>
    <w:rsid w:val="007F7A4A"/>
    <w:rsid w:val="007F7D8F"/>
    <w:rsid w:val="007F7D9E"/>
    <w:rsid w:val="007F7DA2"/>
    <w:rsid w:val="007F7DED"/>
    <w:rsid w:val="008001AA"/>
    <w:rsid w:val="00800598"/>
    <w:rsid w:val="00800796"/>
    <w:rsid w:val="008007C7"/>
    <w:rsid w:val="00800921"/>
    <w:rsid w:val="00800B31"/>
    <w:rsid w:val="00800C53"/>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9B2"/>
    <w:rsid w:val="00802A04"/>
    <w:rsid w:val="00802BBA"/>
    <w:rsid w:val="00802DAE"/>
    <w:rsid w:val="00802E50"/>
    <w:rsid w:val="00802FAF"/>
    <w:rsid w:val="00802FDA"/>
    <w:rsid w:val="008030B8"/>
    <w:rsid w:val="00803241"/>
    <w:rsid w:val="00803819"/>
    <w:rsid w:val="00803B1C"/>
    <w:rsid w:val="00803EA0"/>
    <w:rsid w:val="00803FE6"/>
    <w:rsid w:val="00804CE3"/>
    <w:rsid w:val="0080509C"/>
    <w:rsid w:val="008051EF"/>
    <w:rsid w:val="00805315"/>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AA"/>
    <w:rsid w:val="00807CC7"/>
    <w:rsid w:val="00807E12"/>
    <w:rsid w:val="0081007D"/>
    <w:rsid w:val="00810080"/>
    <w:rsid w:val="008101C0"/>
    <w:rsid w:val="008103C8"/>
    <w:rsid w:val="00810429"/>
    <w:rsid w:val="00810770"/>
    <w:rsid w:val="008109ED"/>
    <w:rsid w:val="00810DA4"/>
    <w:rsid w:val="00810FA3"/>
    <w:rsid w:val="0081173A"/>
    <w:rsid w:val="00811E53"/>
    <w:rsid w:val="00811F8F"/>
    <w:rsid w:val="008122B0"/>
    <w:rsid w:val="008123CF"/>
    <w:rsid w:val="00812691"/>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2CFB"/>
    <w:rsid w:val="00823298"/>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20"/>
    <w:rsid w:val="008258BA"/>
    <w:rsid w:val="00825B96"/>
    <w:rsid w:val="00825FE6"/>
    <w:rsid w:val="0082607F"/>
    <w:rsid w:val="00826474"/>
    <w:rsid w:val="00826727"/>
    <w:rsid w:val="00826987"/>
    <w:rsid w:val="00826CF8"/>
    <w:rsid w:val="00826DC7"/>
    <w:rsid w:val="00826E0B"/>
    <w:rsid w:val="00826EC1"/>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DB0"/>
    <w:rsid w:val="00833138"/>
    <w:rsid w:val="00833161"/>
    <w:rsid w:val="008331B6"/>
    <w:rsid w:val="0083321E"/>
    <w:rsid w:val="008334D5"/>
    <w:rsid w:val="008334FA"/>
    <w:rsid w:val="00833821"/>
    <w:rsid w:val="00833AB9"/>
    <w:rsid w:val="00833B35"/>
    <w:rsid w:val="00833E30"/>
    <w:rsid w:val="0083400C"/>
    <w:rsid w:val="0083455C"/>
    <w:rsid w:val="008345C7"/>
    <w:rsid w:val="00835393"/>
    <w:rsid w:val="008353BD"/>
    <w:rsid w:val="0083545E"/>
    <w:rsid w:val="00835815"/>
    <w:rsid w:val="00835ACB"/>
    <w:rsid w:val="00835E81"/>
    <w:rsid w:val="0083602C"/>
    <w:rsid w:val="00836074"/>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CE"/>
    <w:rsid w:val="008414FC"/>
    <w:rsid w:val="00841639"/>
    <w:rsid w:val="00841644"/>
    <w:rsid w:val="00841842"/>
    <w:rsid w:val="00841ADA"/>
    <w:rsid w:val="00841B87"/>
    <w:rsid w:val="00841D2A"/>
    <w:rsid w:val="00841DD6"/>
    <w:rsid w:val="00841F08"/>
    <w:rsid w:val="00841F32"/>
    <w:rsid w:val="00842764"/>
    <w:rsid w:val="00842812"/>
    <w:rsid w:val="0084293D"/>
    <w:rsid w:val="00842B0D"/>
    <w:rsid w:val="00842C2E"/>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513"/>
    <w:rsid w:val="0084569C"/>
    <w:rsid w:val="00845A3D"/>
    <w:rsid w:val="008461B6"/>
    <w:rsid w:val="00846315"/>
    <w:rsid w:val="00846322"/>
    <w:rsid w:val="008463D0"/>
    <w:rsid w:val="008465D4"/>
    <w:rsid w:val="00846DAF"/>
    <w:rsid w:val="00846DBD"/>
    <w:rsid w:val="008470D7"/>
    <w:rsid w:val="0084714B"/>
    <w:rsid w:val="00847201"/>
    <w:rsid w:val="00847225"/>
    <w:rsid w:val="0084746D"/>
    <w:rsid w:val="008479B1"/>
    <w:rsid w:val="00847BD0"/>
    <w:rsid w:val="00847C94"/>
    <w:rsid w:val="00847EE2"/>
    <w:rsid w:val="00847FF3"/>
    <w:rsid w:val="0085019A"/>
    <w:rsid w:val="008504B0"/>
    <w:rsid w:val="008506D9"/>
    <w:rsid w:val="008508E6"/>
    <w:rsid w:val="00850BE3"/>
    <w:rsid w:val="00850C37"/>
    <w:rsid w:val="00850DD5"/>
    <w:rsid w:val="00850E80"/>
    <w:rsid w:val="008511E6"/>
    <w:rsid w:val="00851301"/>
    <w:rsid w:val="008513CB"/>
    <w:rsid w:val="00851409"/>
    <w:rsid w:val="008515B3"/>
    <w:rsid w:val="008515EC"/>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64"/>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B0C"/>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228C"/>
    <w:rsid w:val="0086257C"/>
    <w:rsid w:val="00862583"/>
    <w:rsid w:val="00862815"/>
    <w:rsid w:val="00862958"/>
    <w:rsid w:val="00862F8F"/>
    <w:rsid w:val="00863259"/>
    <w:rsid w:val="0086330B"/>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750"/>
    <w:rsid w:val="008648AA"/>
    <w:rsid w:val="008648E1"/>
    <w:rsid w:val="0086494B"/>
    <w:rsid w:val="00864A7D"/>
    <w:rsid w:val="00864BB0"/>
    <w:rsid w:val="00864CB7"/>
    <w:rsid w:val="00864CF3"/>
    <w:rsid w:val="00864E83"/>
    <w:rsid w:val="00864F98"/>
    <w:rsid w:val="008650AF"/>
    <w:rsid w:val="008655D3"/>
    <w:rsid w:val="0086595D"/>
    <w:rsid w:val="00865BB1"/>
    <w:rsid w:val="00865FD5"/>
    <w:rsid w:val="008667AB"/>
    <w:rsid w:val="008667DD"/>
    <w:rsid w:val="008669B0"/>
    <w:rsid w:val="00866A14"/>
    <w:rsid w:val="00866B35"/>
    <w:rsid w:val="00866EA5"/>
    <w:rsid w:val="00867C69"/>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DA"/>
    <w:rsid w:val="008721D6"/>
    <w:rsid w:val="00872606"/>
    <w:rsid w:val="00872895"/>
    <w:rsid w:val="008728BB"/>
    <w:rsid w:val="0087294F"/>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4D8"/>
    <w:rsid w:val="0087650A"/>
    <w:rsid w:val="00876672"/>
    <w:rsid w:val="008767FD"/>
    <w:rsid w:val="00876812"/>
    <w:rsid w:val="008768E0"/>
    <w:rsid w:val="00876AFA"/>
    <w:rsid w:val="00876B52"/>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9D8"/>
    <w:rsid w:val="00880B32"/>
    <w:rsid w:val="00880C6B"/>
    <w:rsid w:val="00880F30"/>
    <w:rsid w:val="00881049"/>
    <w:rsid w:val="008811F4"/>
    <w:rsid w:val="0088172A"/>
    <w:rsid w:val="008817D3"/>
    <w:rsid w:val="0088194D"/>
    <w:rsid w:val="00881FF2"/>
    <w:rsid w:val="00882050"/>
    <w:rsid w:val="008823EE"/>
    <w:rsid w:val="008823F6"/>
    <w:rsid w:val="00882438"/>
    <w:rsid w:val="008824B7"/>
    <w:rsid w:val="008824E0"/>
    <w:rsid w:val="0088278B"/>
    <w:rsid w:val="00882BE0"/>
    <w:rsid w:val="0088306A"/>
    <w:rsid w:val="008831AA"/>
    <w:rsid w:val="008831B2"/>
    <w:rsid w:val="00883210"/>
    <w:rsid w:val="0088352B"/>
    <w:rsid w:val="00883537"/>
    <w:rsid w:val="008835F5"/>
    <w:rsid w:val="00883938"/>
    <w:rsid w:val="008839AA"/>
    <w:rsid w:val="00883A2C"/>
    <w:rsid w:val="0088428C"/>
    <w:rsid w:val="008844FD"/>
    <w:rsid w:val="00884749"/>
    <w:rsid w:val="00884859"/>
    <w:rsid w:val="00884A4F"/>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84"/>
    <w:rsid w:val="00886F21"/>
    <w:rsid w:val="00887576"/>
    <w:rsid w:val="00887580"/>
    <w:rsid w:val="00887846"/>
    <w:rsid w:val="008878DE"/>
    <w:rsid w:val="0088794C"/>
    <w:rsid w:val="00887FFE"/>
    <w:rsid w:val="0089031C"/>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70F"/>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1FF3"/>
    <w:rsid w:val="008A26D4"/>
    <w:rsid w:val="008A275A"/>
    <w:rsid w:val="008A295F"/>
    <w:rsid w:val="008A2B53"/>
    <w:rsid w:val="008A2CE6"/>
    <w:rsid w:val="008A2EB0"/>
    <w:rsid w:val="008A2EF1"/>
    <w:rsid w:val="008A32BD"/>
    <w:rsid w:val="008A33A5"/>
    <w:rsid w:val="008A3514"/>
    <w:rsid w:val="008A379F"/>
    <w:rsid w:val="008A3898"/>
    <w:rsid w:val="008A3991"/>
    <w:rsid w:val="008A39B0"/>
    <w:rsid w:val="008A39B4"/>
    <w:rsid w:val="008A3AB0"/>
    <w:rsid w:val="008A3AD6"/>
    <w:rsid w:val="008A3AFD"/>
    <w:rsid w:val="008A3EC9"/>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AEA"/>
    <w:rsid w:val="008A6C73"/>
    <w:rsid w:val="008A707C"/>
    <w:rsid w:val="008A70A5"/>
    <w:rsid w:val="008A728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7E5"/>
    <w:rsid w:val="008B2B86"/>
    <w:rsid w:val="008B2D9C"/>
    <w:rsid w:val="008B3848"/>
    <w:rsid w:val="008B3971"/>
    <w:rsid w:val="008B398F"/>
    <w:rsid w:val="008B3B43"/>
    <w:rsid w:val="008B3CA3"/>
    <w:rsid w:val="008B3CFA"/>
    <w:rsid w:val="008B3E50"/>
    <w:rsid w:val="008B40E6"/>
    <w:rsid w:val="008B41DE"/>
    <w:rsid w:val="008B453C"/>
    <w:rsid w:val="008B455D"/>
    <w:rsid w:val="008B45FB"/>
    <w:rsid w:val="008B4C78"/>
    <w:rsid w:val="008B4E80"/>
    <w:rsid w:val="008B4EA1"/>
    <w:rsid w:val="008B4F62"/>
    <w:rsid w:val="008B522A"/>
    <w:rsid w:val="008B5231"/>
    <w:rsid w:val="008B52AC"/>
    <w:rsid w:val="008B52F3"/>
    <w:rsid w:val="008B5619"/>
    <w:rsid w:val="008B57F7"/>
    <w:rsid w:val="008B5BE6"/>
    <w:rsid w:val="008B5C49"/>
    <w:rsid w:val="008B5CB8"/>
    <w:rsid w:val="008B5EA6"/>
    <w:rsid w:val="008B61D8"/>
    <w:rsid w:val="008B6751"/>
    <w:rsid w:val="008B6ABA"/>
    <w:rsid w:val="008B6E36"/>
    <w:rsid w:val="008B6F05"/>
    <w:rsid w:val="008B6FD3"/>
    <w:rsid w:val="008B71B1"/>
    <w:rsid w:val="008B7523"/>
    <w:rsid w:val="008B775D"/>
    <w:rsid w:val="008B77C8"/>
    <w:rsid w:val="008B782C"/>
    <w:rsid w:val="008B7E61"/>
    <w:rsid w:val="008C0169"/>
    <w:rsid w:val="008C039C"/>
    <w:rsid w:val="008C03D0"/>
    <w:rsid w:val="008C0505"/>
    <w:rsid w:val="008C0861"/>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3A8"/>
    <w:rsid w:val="008C3401"/>
    <w:rsid w:val="008C346D"/>
    <w:rsid w:val="008C360F"/>
    <w:rsid w:val="008C3E0B"/>
    <w:rsid w:val="008C3E8D"/>
    <w:rsid w:val="008C40AE"/>
    <w:rsid w:val="008C41D3"/>
    <w:rsid w:val="008C4258"/>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711"/>
    <w:rsid w:val="008D0E6D"/>
    <w:rsid w:val="008D0ED2"/>
    <w:rsid w:val="008D0EF1"/>
    <w:rsid w:val="008D1512"/>
    <w:rsid w:val="008D1AF4"/>
    <w:rsid w:val="008D1C24"/>
    <w:rsid w:val="008D1D5E"/>
    <w:rsid w:val="008D1E21"/>
    <w:rsid w:val="008D1E95"/>
    <w:rsid w:val="008D2408"/>
    <w:rsid w:val="008D28EF"/>
    <w:rsid w:val="008D2918"/>
    <w:rsid w:val="008D29FB"/>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166"/>
    <w:rsid w:val="008D6225"/>
    <w:rsid w:val="008D688F"/>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8CF"/>
    <w:rsid w:val="008E1E64"/>
    <w:rsid w:val="008E1ED5"/>
    <w:rsid w:val="008E238B"/>
    <w:rsid w:val="008E239B"/>
    <w:rsid w:val="008E26F0"/>
    <w:rsid w:val="008E2726"/>
    <w:rsid w:val="008E27B8"/>
    <w:rsid w:val="008E2A0E"/>
    <w:rsid w:val="008E2E7F"/>
    <w:rsid w:val="008E2FA5"/>
    <w:rsid w:val="008E3282"/>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6C5"/>
    <w:rsid w:val="008E6A3C"/>
    <w:rsid w:val="008E6EBC"/>
    <w:rsid w:val="008E6FBE"/>
    <w:rsid w:val="008E726D"/>
    <w:rsid w:val="008E72D9"/>
    <w:rsid w:val="008E7436"/>
    <w:rsid w:val="008E7782"/>
    <w:rsid w:val="008E796F"/>
    <w:rsid w:val="008E7B18"/>
    <w:rsid w:val="008E7C1A"/>
    <w:rsid w:val="008E7C45"/>
    <w:rsid w:val="008F0093"/>
    <w:rsid w:val="008F05BC"/>
    <w:rsid w:val="008F05D5"/>
    <w:rsid w:val="008F08A1"/>
    <w:rsid w:val="008F091B"/>
    <w:rsid w:val="008F120F"/>
    <w:rsid w:val="008F1284"/>
    <w:rsid w:val="008F1475"/>
    <w:rsid w:val="008F14E5"/>
    <w:rsid w:val="008F15AC"/>
    <w:rsid w:val="008F161A"/>
    <w:rsid w:val="008F1796"/>
    <w:rsid w:val="008F18E6"/>
    <w:rsid w:val="008F19C8"/>
    <w:rsid w:val="008F1AE0"/>
    <w:rsid w:val="008F1D2E"/>
    <w:rsid w:val="008F1EEA"/>
    <w:rsid w:val="008F234E"/>
    <w:rsid w:val="008F2373"/>
    <w:rsid w:val="008F2523"/>
    <w:rsid w:val="008F2598"/>
    <w:rsid w:val="008F2D82"/>
    <w:rsid w:val="008F2E57"/>
    <w:rsid w:val="008F2ED3"/>
    <w:rsid w:val="008F2ED4"/>
    <w:rsid w:val="008F2F60"/>
    <w:rsid w:val="008F3238"/>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17"/>
    <w:rsid w:val="008F5F59"/>
    <w:rsid w:val="008F6045"/>
    <w:rsid w:val="008F60EC"/>
    <w:rsid w:val="008F618B"/>
    <w:rsid w:val="008F62E9"/>
    <w:rsid w:val="008F6400"/>
    <w:rsid w:val="008F661D"/>
    <w:rsid w:val="008F66C9"/>
    <w:rsid w:val="008F671C"/>
    <w:rsid w:val="008F69CC"/>
    <w:rsid w:val="008F69FE"/>
    <w:rsid w:val="008F6CB9"/>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6B5"/>
    <w:rsid w:val="00901A6B"/>
    <w:rsid w:val="00901E84"/>
    <w:rsid w:val="00901FD8"/>
    <w:rsid w:val="009020DD"/>
    <w:rsid w:val="009021AF"/>
    <w:rsid w:val="0090269D"/>
    <w:rsid w:val="009028AE"/>
    <w:rsid w:val="00902F34"/>
    <w:rsid w:val="00903024"/>
    <w:rsid w:val="009034FC"/>
    <w:rsid w:val="0090375A"/>
    <w:rsid w:val="00903C02"/>
    <w:rsid w:val="00903CFB"/>
    <w:rsid w:val="00903D2F"/>
    <w:rsid w:val="00903D6F"/>
    <w:rsid w:val="00903DBF"/>
    <w:rsid w:val="009040D7"/>
    <w:rsid w:val="009043AF"/>
    <w:rsid w:val="00904467"/>
    <w:rsid w:val="00904654"/>
    <w:rsid w:val="00904795"/>
    <w:rsid w:val="00904A5D"/>
    <w:rsid w:val="00904D7E"/>
    <w:rsid w:val="009051CB"/>
    <w:rsid w:val="009054E6"/>
    <w:rsid w:val="009058B8"/>
    <w:rsid w:val="00905956"/>
    <w:rsid w:val="00905CFB"/>
    <w:rsid w:val="00905D18"/>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2C6"/>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64A"/>
    <w:rsid w:val="009158D5"/>
    <w:rsid w:val="00915932"/>
    <w:rsid w:val="00915B58"/>
    <w:rsid w:val="00915CD6"/>
    <w:rsid w:val="00916044"/>
    <w:rsid w:val="00916262"/>
    <w:rsid w:val="0091636F"/>
    <w:rsid w:val="009163F2"/>
    <w:rsid w:val="0091648D"/>
    <w:rsid w:val="009164B4"/>
    <w:rsid w:val="00916695"/>
    <w:rsid w:val="009166D6"/>
    <w:rsid w:val="00916862"/>
    <w:rsid w:val="009168D0"/>
    <w:rsid w:val="009169C7"/>
    <w:rsid w:val="009169F4"/>
    <w:rsid w:val="00916EEC"/>
    <w:rsid w:val="00917164"/>
    <w:rsid w:val="0091723E"/>
    <w:rsid w:val="00917336"/>
    <w:rsid w:val="0091793A"/>
    <w:rsid w:val="00917C56"/>
    <w:rsid w:val="00917CF1"/>
    <w:rsid w:val="00920010"/>
    <w:rsid w:val="00920078"/>
    <w:rsid w:val="0092029B"/>
    <w:rsid w:val="00920489"/>
    <w:rsid w:val="009204EB"/>
    <w:rsid w:val="009206F5"/>
    <w:rsid w:val="00920878"/>
    <w:rsid w:val="00920941"/>
    <w:rsid w:val="00920B2E"/>
    <w:rsid w:val="00920B6C"/>
    <w:rsid w:val="00921012"/>
    <w:rsid w:val="009212A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6B"/>
    <w:rsid w:val="00925997"/>
    <w:rsid w:val="00925BCE"/>
    <w:rsid w:val="00925BE0"/>
    <w:rsid w:val="00925C0C"/>
    <w:rsid w:val="00925C40"/>
    <w:rsid w:val="00925F95"/>
    <w:rsid w:val="00926208"/>
    <w:rsid w:val="009262C4"/>
    <w:rsid w:val="00926551"/>
    <w:rsid w:val="009266EE"/>
    <w:rsid w:val="009267EE"/>
    <w:rsid w:val="00926948"/>
    <w:rsid w:val="00926A17"/>
    <w:rsid w:val="00926A4E"/>
    <w:rsid w:val="00926C46"/>
    <w:rsid w:val="00927239"/>
    <w:rsid w:val="009272C6"/>
    <w:rsid w:val="00927418"/>
    <w:rsid w:val="0092791E"/>
    <w:rsid w:val="00927C55"/>
    <w:rsid w:val="00927E2B"/>
    <w:rsid w:val="00930270"/>
    <w:rsid w:val="00930483"/>
    <w:rsid w:val="00930791"/>
    <w:rsid w:val="00930B68"/>
    <w:rsid w:val="00930BC9"/>
    <w:rsid w:val="00930CDA"/>
    <w:rsid w:val="00930FE1"/>
    <w:rsid w:val="009310DC"/>
    <w:rsid w:val="0093116F"/>
    <w:rsid w:val="00931258"/>
    <w:rsid w:val="009312D1"/>
    <w:rsid w:val="00931736"/>
    <w:rsid w:val="00931852"/>
    <w:rsid w:val="0093193C"/>
    <w:rsid w:val="00931DF0"/>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6C"/>
    <w:rsid w:val="0094098F"/>
    <w:rsid w:val="00940ACB"/>
    <w:rsid w:val="00941174"/>
    <w:rsid w:val="00941287"/>
    <w:rsid w:val="009412B2"/>
    <w:rsid w:val="00941430"/>
    <w:rsid w:val="00941537"/>
    <w:rsid w:val="009417A9"/>
    <w:rsid w:val="00941933"/>
    <w:rsid w:val="00941D8B"/>
    <w:rsid w:val="0094208C"/>
    <w:rsid w:val="009421ED"/>
    <w:rsid w:val="00942527"/>
    <w:rsid w:val="009425F7"/>
    <w:rsid w:val="00942809"/>
    <w:rsid w:val="00942EE6"/>
    <w:rsid w:val="00942F2A"/>
    <w:rsid w:val="00942F41"/>
    <w:rsid w:val="00943004"/>
    <w:rsid w:val="00943811"/>
    <w:rsid w:val="00943B2D"/>
    <w:rsid w:val="00943C89"/>
    <w:rsid w:val="00943F31"/>
    <w:rsid w:val="009440E4"/>
    <w:rsid w:val="00944130"/>
    <w:rsid w:val="009441D1"/>
    <w:rsid w:val="009442B5"/>
    <w:rsid w:val="00944464"/>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76"/>
    <w:rsid w:val="00950389"/>
    <w:rsid w:val="009503F5"/>
    <w:rsid w:val="00950453"/>
    <w:rsid w:val="00950523"/>
    <w:rsid w:val="0095069C"/>
    <w:rsid w:val="009508CB"/>
    <w:rsid w:val="009508F2"/>
    <w:rsid w:val="00950D1A"/>
    <w:rsid w:val="00951525"/>
    <w:rsid w:val="00951666"/>
    <w:rsid w:val="00951FDB"/>
    <w:rsid w:val="00952047"/>
    <w:rsid w:val="00952126"/>
    <w:rsid w:val="009521BC"/>
    <w:rsid w:val="0095220E"/>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94"/>
    <w:rsid w:val="00970598"/>
    <w:rsid w:val="00970894"/>
    <w:rsid w:val="00970BC2"/>
    <w:rsid w:val="00970E23"/>
    <w:rsid w:val="00970E45"/>
    <w:rsid w:val="009711B2"/>
    <w:rsid w:val="009711B4"/>
    <w:rsid w:val="009714DF"/>
    <w:rsid w:val="009716C6"/>
    <w:rsid w:val="009716DC"/>
    <w:rsid w:val="0097172B"/>
    <w:rsid w:val="00971AB9"/>
    <w:rsid w:val="00971E2D"/>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ADF"/>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38"/>
    <w:rsid w:val="00977AFE"/>
    <w:rsid w:val="00977CD8"/>
    <w:rsid w:val="00977D94"/>
    <w:rsid w:val="009802B0"/>
    <w:rsid w:val="009802EE"/>
    <w:rsid w:val="0098060B"/>
    <w:rsid w:val="009806E9"/>
    <w:rsid w:val="0098097E"/>
    <w:rsid w:val="00980BA4"/>
    <w:rsid w:val="00980E75"/>
    <w:rsid w:val="0098107F"/>
    <w:rsid w:val="009811B1"/>
    <w:rsid w:val="00981273"/>
    <w:rsid w:val="0098132C"/>
    <w:rsid w:val="0098163A"/>
    <w:rsid w:val="00981680"/>
    <w:rsid w:val="00981CA2"/>
    <w:rsid w:val="0098205B"/>
    <w:rsid w:val="00982137"/>
    <w:rsid w:val="00982EB9"/>
    <w:rsid w:val="00983344"/>
    <w:rsid w:val="009836A3"/>
    <w:rsid w:val="00983958"/>
    <w:rsid w:val="00984484"/>
    <w:rsid w:val="0098455F"/>
    <w:rsid w:val="00984569"/>
    <w:rsid w:val="009848A7"/>
    <w:rsid w:val="00984A20"/>
    <w:rsid w:val="00984C41"/>
    <w:rsid w:val="00984E99"/>
    <w:rsid w:val="009851EA"/>
    <w:rsid w:val="00985445"/>
    <w:rsid w:val="00985670"/>
    <w:rsid w:val="009857F2"/>
    <w:rsid w:val="00985A3F"/>
    <w:rsid w:val="00985F95"/>
    <w:rsid w:val="00986572"/>
    <w:rsid w:val="00986948"/>
    <w:rsid w:val="0098697C"/>
    <w:rsid w:val="0098698B"/>
    <w:rsid w:val="00986AB2"/>
    <w:rsid w:val="00986DD5"/>
    <w:rsid w:val="00986E4B"/>
    <w:rsid w:val="00986F46"/>
    <w:rsid w:val="0098707D"/>
    <w:rsid w:val="0098740A"/>
    <w:rsid w:val="00987484"/>
    <w:rsid w:val="00987A4A"/>
    <w:rsid w:val="00987B87"/>
    <w:rsid w:val="00987C62"/>
    <w:rsid w:val="009906F6"/>
    <w:rsid w:val="0099089D"/>
    <w:rsid w:val="009908A7"/>
    <w:rsid w:val="0099098A"/>
    <w:rsid w:val="00990F72"/>
    <w:rsid w:val="00991141"/>
    <w:rsid w:val="0099142E"/>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6D39"/>
    <w:rsid w:val="00996DB0"/>
    <w:rsid w:val="00996F93"/>
    <w:rsid w:val="0099729F"/>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4B"/>
    <w:rsid w:val="009A3182"/>
    <w:rsid w:val="009A31B1"/>
    <w:rsid w:val="009A3292"/>
    <w:rsid w:val="009A32EC"/>
    <w:rsid w:val="009A3546"/>
    <w:rsid w:val="009A3C59"/>
    <w:rsid w:val="009A408C"/>
    <w:rsid w:val="009A4105"/>
    <w:rsid w:val="009A4307"/>
    <w:rsid w:val="009A45FF"/>
    <w:rsid w:val="009A4661"/>
    <w:rsid w:val="009A4695"/>
    <w:rsid w:val="009A49F8"/>
    <w:rsid w:val="009A4CFC"/>
    <w:rsid w:val="009A4FF9"/>
    <w:rsid w:val="009A55B9"/>
    <w:rsid w:val="009A59A2"/>
    <w:rsid w:val="009A5A26"/>
    <w:rsid w:val="009A5B27"/>
    <w:rsid w:val="009A5C61"/>
    <w:rsid w:val="009A5DAD"/>
    <w:rsid w:val="009A64C3"/>
    <w:rsid w:val="009A65FE"/>
    <w:rsid w:val="009A687B"/>
    <w:rsid w:val="009A68F5"/>
    <w:rsid w:val="009A6A63"/>
    <w:rsid w:val="009A6A70"/>
    <w:rsid w:val="009A6D38"/>
    <w:rsid w:val="009A6D48"/>
    <w:rsid w:val="009A6E11"/>
    <w:rsid w:val="009A6F42"/>
    <w:rsid w:val="009A6FD3"/>
    <w:rsid w:val="009A706B"/>
    <w:rsid w:val="009A742C"/>
    <w:rsid w:val="009A7473"/>
    <w:rsid w:val="009A7497"/>
    <w:rsid w:val="009A74B8"/>
    <w:rsid w:val="009A75A3"/>
    <w:rsid w:val="009A7706"/>
    <w:rsid w:val="009A7B90"/>
    <w:rsid w:val="009B0069"/>
    <w:rsid w:val="009B021B"/>
    <w:rsid w:val="009B06B5"/>
    <w:rsid w:val="009B091C"/>
    <w:rsid w:val="009B0C4E"/>
    <w:rsid w:val="009B0E26"/>
    <w:rsid w:val="009B0F59"/>
    <w:rsid w:val="009B10A3"/>
    <w:rsid w:val="009B13AA"/>
    <w:rsid w:val="009B169F"/>
    <w:rsid w:val="009B173F"/>
    <w:rsid w:val="009B1BAA"/>
    <w:rsid w:val="009B1E80"/>
    <w:rsid w:val="009B1F55"/>
    <w:rsid w:val="009B26AA"/>
    <w:rsid w:val="009B280C"/>
    <w:rsid w:val="009B2851"/>
    <w:rsid w:val="009B28BF"/>
    <w:rsid w:val="009B28C4"/>
    <w:rsid w:val="009B2E36"/>
    <w:rsid w:val="009B35D6"/>
    <w:rsid w:val="009B394A"/>
    <w:rsid w:val="009B3978"/>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5E3E"/>
    <w:rsid w:val="009B6050"/>
    <w:rsid w:val="009B6716"/>
    <w:rsid w:val="009B6729"/>
    <w:rsid w:val="009B6CCC"/>
    <w:rsid w:val="009B6EB4"/>
    <w:rsid w:val="009B71C1"/>
    <w:rsid w:val="009B7458"/>
    <w:rsid w:val="009B7666"/>
    <w:rsid w:val="009B767B"/>
    <w:rsid w:val="009B769C"/>
    <w:rsid w:val="009B76EA"/>
    <w:rsid w:val="009B790F"/>
    <w:rsid w:val="009B7C80"/>
    <w:rsid w:val="009B7ED5"/>
    <w:rsid w:val="009B7FB9"/>
    <w:rsid w:val="009C0056"/>
    <w:rsid w:val="009C0254"/>
    <w:rsid w:val="009C04A7"/>
    <w:rsid w:val="009C0800"/>
    <w:rsid w:val="009C0893"/>
    <w:rsid w:val="009C094C"/>
    <w:rsid w:val="009C0BFD"/>
    <w:rsid w:val="009C0DA7"/>
    <w:rsid w:val="009C1406"/>
    <w:rsid w:val="009C160C"/>
    <w:rsid w:val="009C16DF"/>
    <w:rsid w:val="009C1DB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716"/>
    <w:rsid w:val="009C4E0E"/>
    <w:rsid w:val="009C4E33"/>
    <w:rsid w:val="009C4FD9"/>
    <w:rsid w:val="009C526B"/>
    <w:rsid w:val="009C5497"/>
    <w:rsid w:val="009C564D"/>
    <w:rsid w:val="009C5A8B"/>
    <w:rsid w:val="009C5B88"/>
    <w:rsid w:val="009C5F66"/>
    <w:rsid w:val="009C608C"/>
    <w:rsid w:val="009C62A8"/>
    <w:rsid w:val="009C68AE"/>
    <w:rsid w:val="009C6A2A"/>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B87"/>
    <w:rsid w:val="009D229F"/>
    <w:rsid w:val="009D2367"/>
    <w:rsid w:val="009D2450"/>
    <w:rsid w:val="009D29E8"/>
    <w:rsid w:val="009D2ABB"/>
    <w:rsid w:val="009D2F12"/>
    <w:rsid w:val="009D2F36"/>
    <w:rsid w:val="009D3236"/>
    <w:rsid w:val="009D32A2"/>
    <w:rsid w:val="009D3FE5"/>
    <w:rsid w:val="009D471B"/>
    <w:rsid w:val="009D48DF"/>
    <w:rsid w:val="009D4960"/>
    <w:rsid w:val="009D4B23"/>
    <w:rsid w:val="009D4E28"/>
    <w:rsid w:val="009D4EAE"/>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87"/>
    <w:rsid w:val="009D7386"/>
    <w:rsid w:val="009D7426"/>
    <w:rsid w:val="009D76DC"/>
    <w:rsid w:val="009D76F8"/>
    <w:rsid w:val="009D79B8"/>
    <w:rsid w:val="009D7D83"/>
    <w:rsid w:val="009D7E3A"/>
    <w:rsid w:val="009E01FF"/>
    <w:rsid w:val="009E03EA"/>
    <w:rsid w:val="009E067B"/>
    <w:rsid w:val="009E0CCC"/>
    <w:rsid w:val="009E0E34"/>
    <w:rsid w:val="009E1027"/>
    <w:rsid w:val="009E1295"/>
    <w:rsid w:val="009E15E8"/>
    <w:rsid w:val="009E17D1"/>
    <w:rsid w:val="009E1908"/>
    <w:rsid w:val="009E1B7A"/>
    <w:rsid w:val="009E1B85"/>
    <w:rsid w:val="009E2AF5"/>
    <w:rsid w:val="009E2B7A"/>
    <w:rsid w:val="009E2F45"/>
    <w:rsid w:val="009E304E"/>
    <w:rsid w:val="009E3151"/>
    <w:rsid w:val="009E3590"/>
    <w:rsid w:val="009E36BC"/>
    <w:rsid w:val="009E3BFB"/>
    <w:rsid w:val="009E3E5E"/>
    <w:rsid w:val="009E45EA"/>
    <w:rsid w:val="009E4A2D"/>
    <w:rsid w:val="009E50C1"/>
    <w:rsid w:val="009E51DE"/>
    <w:rsid w:val="009E53B3"/>
    <w:rsid w:val="009E54FA"/>
    <w:rsid w:val="009E5596"/>
    <w:rsid w:val="009E55CA"/>
    <w:rsid w:val="009E5724"/>
    <w:rsid w:val="009E5AC3"/>
    <w:rsid w:val="009E5BA6"/>
    <w:rsid w:val="009E5CAC"/>
    <w:rsid w:val="009E61FC"/>
    <w:rsid w:val="009E6347"/>
    <w:rsid w:val="009E675C"/>
    <w:rsid w:val="009E69A3"/>
    <w:rsid w:val="009E70BF"/>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38AB"/>
    <w:rsid w:val="009F3C01"/>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96"/>
    <w:rsid w:val="009F68B7"/>
    <w:rsid w:val="009F68EE"/>
    <w:rsid w:val="009F6954"/>
    <w:rsid w:val="009F6A39"/>
    <w:rsid w:val="009F6A79"/>
    <w:rsid w:val="009F6C08"/>
    <w:rsid w:val="009F6D7A"/>
    <w:rsid w:val="009F6E71"/>
    <w:rsid w:val="009F7386"/>
    <w:rsid w:val="009F75AA"/>
    <w:rsid w:val="009F76A7"/>
    <w:rsid w:val="009F7A81"/>
    <w:rsid w:val="009F7AD8"/>
    <w:rsid w:val="009F7AE6"/>
    <w:rsid w:val="009F7B1E"/>
    <w:rsid w:val="009F7BEB"/>
    <w:rsid w:val="009F7E08"/>
    <w:rsid w:val="00A00093"/>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1D"/>
    <w:rsid w:val="00A05A38"/>
    <w:rsid w:val="00A05AF6"/>
    <w:rsid w:val="00A05BD0"/>
    <w:rsid w:val="00A06442"/>
    <w:rsid w:val="00A066B0"/>
    <w:rsid w:val="00A0673C"/>
    <w:rsid w:val="00A06B4C"/>
    <w:rsid w:val="00A06B63"/>
    <w:rsid w:val="00A06D57"/>
    <w:rsid w:val="00A06EE9"/>
    <w:rsid w:val="00A06FDC"/>
    <w:rsid w:val="00A07219"/>
    <w:rsid w:val="00A072BA"/>
    <w:rsid w:val="00A072C3"/>
    <w:rsid w:val="00A07434"/>
    <w:rsid w:val="00A100C9"/>
    <w:rsid w:val="00A10124"/>
    <w:rsid w:val="00A10416"/>
    <w:rsid w:val="00A1076C"/>
    <w:rsid w:val="00A108EA"/>
    <w:rsid w:val="00A10C88"/>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9CF"/>
    <w:rsid w:val="00A17D24"/>
    <w:rsid w:val="00A20030"/>
    <w:rsid w:val="00A20104"/>
    <w:rsid w:val="00A203BC"/>
    <w:rsid w:val="00A20636"/>
    <w:rsid w:val="00A20831"/>
    <w:rsid w:val="00A20833"/>
    <w:rsid w:val="00A20B91"/>
    <w:rsid w:val="00A20DB9"/>
    <w:rsid w:val="00A20F08"/>
    <w:rsid w:val="00A21028"/>
    <w:rsid w:val="00A21165"/>
    <w:rsid w:val="00A21227"/>
    <w:rsid w:val="00A212E7"/>
    <w:rsid w:val="00A21471"/>
    <w:rsid w:val="00A21491"/>
    <w:rsid w:val="00A21493"/>
    <w:rsid w:val="00A216F3"/>
    <w:rsid w:val="00A219E0"/>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3D"/>
    <w:rsid w:val="00A34716"/>
    <w:rsid w:val="00A34B38"/>
    <w:rsid w:val="00A34E6C"/>
    <w:rsid w:val="00A352A2"/>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0DB"/>
    <w:rsid w:val="00A41153"/>
    <w:rsid w:val="00A416A1"/>
    <w:rsid w:val="00A41718"/>
    <w:rsid w:val="00A42031"/>
    <w:rsid w:val="00A420DE"/>
    <w:rsid w:val="00A4240F"/>
    <w:rsid w:val="00A42866"/>
    <w:rsid w:val="00A42934"/>
    <w:rsid w:val="00A42994"/>
    <w:rsid w:val="00A42D05"/>
    <w:rsid w:val="00A4305C"/>
    <w:rsid w:val="00A43215"/>
    <w:rsid w:val="00A4341F"/>
    <w:rsid w:val="00A434F5"/>
    <w:rsid w:val="00A438A8"/>
    <w:rsid w:val="00A4393C"/>
    <w:rsid w:val="00A43EB6"/>
    <w:rsid w:val="00A4412E"/>
    <w:rsid w:val="00A44B5C"/>
    <w:rsid w:val="00A44C2E"/>
    <w:rsid w:val="00A44DB4"/>
    <w:rsid w:val="00A45795"/>
    <w:rsid w:val="00A45A5F"/>
    <w:rsid w:val="00A45C54"/>
    <w:rsid w:val="00A463B1"/>
    <w:rsid w:val="00A464D0"/>
    <w:rsid w:val="00A464FF"/>
    <w:rsid w:val="00A46943"/>
    <w:rsid w:val="00A46A04"/>
    <w:rsid w:val="00A46F81"/>
    <w:rsid w:val="00A46FD1"/>
    <w:rsid w:val="00A47435"/>
    <w:rsid w:val="00A475C0"/>
    <w:rsid w:val="00A47678"/>
    <w:rsid w:val="00A476F6"/>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44"/>
    <w:rsid w:val="00A52770"/>
    <w:rsid w:val="00A52A82"/>
    <w:rsid w:val="00A52AB6"/>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9EC"/>
    <w:rsid w:val="00A54B46"/>
    <w:rsid w:val="00A54BF3"/>
    <w:rsid w:val="00A54C0A"/>
    <w:rsid w:val="00A54DAA"/>
    <w:rsid w:val="00A54F67"/>
    <w:rsid w:val="00A551BE"/>
    <w:rsid w:val="00A552DB"/>
    <w:rsid w:val="00A553D3"/>
    <w:rsid w:val="00A55549"/>
    <w:rsid w:val="00A55569"/>
    <w:rsid w:val="00A55585"/>
    <w:rsid w:val="00A55634"/>
    <w:rsid w:val="00A55913"/>
    <w:rsid w:val="00A55B29"/>
    <w:rsid w:val="00A55C47"/>
    <w:rsid w:val="00A55C4B"/>
    <w:rsid w:val="00A55D54"/>
    <w:rsid w:val="00A561BE"/>
    <w:rsid w:val="00A5628E"/>
    <w:rsid w:val="00A56371"/>
    <w:rsid w:val="00A567E9"/>
    <w:rsid w:val="00A56A81"/>
    <w:rsid w:val="00A56A8B"/>
    <w:rsid w:val="00A56CF2"/>
    <w:rsid w:val="00A571B3"/>
    <w:rsid w:val="00A5724C"/>
    <w:rsid w:val="00A5746B"/>
    <w:rsid w:val="00A57BD8"/>
    <w:rsid w:val="00A57F03"/>
    <w:rsid w:val="00A57F3F"/>
    <w:rsid w:val="00A60411"/>
    <w:rsid w:val="00A607A8"/>
    <w:rsid w:val="00A609F6"/>
    <w:rsid w:val="00A60C11"/>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1B1"/>
    <w:rsid w:val="00A642CC"/>
    <w:rsid w:val="00A64395"/>
    <w:rsid w:val="00A64550"/>
    <w:rsid w:val="00A645B0"/>
    <w:rsid w:val="00A645C4"/>
    <w:rsid w:val="00A6475D"/>
    <w:rsid w:val="00A6477F"/>
    <w:rsid w:val="00A64A16"/>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7"/>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6C7"/>
    <w:rsid w:val="00A718F3"/>
    <w:rsid w:val="00A71AD1"/>
    <w:rsid w:val="00A71C1F"/>
    <w:rsid w:val="00A71C6C"/>
    <w:rsid w:val="00A724CA"/>
    <w:rsid w:val="00A7263B"/>
    <w:rsid w:val="00A72734"/>
    <w:rsid w:val="00A72958"/>
    <w:rsid w:val="00A72A1D"/>
    <w:rsid w:val="00A72D4B"/>
    <w:rsid w:val="00A72EC9"/>
    <w:rsid w:val="00A731E8"/>
    <w:rsid w:val="00A73461"/>
    <w:rsid w:val="00A734E2"/>
    <w:rsid w:val="00A73718"/>
    <w:rsid w:val="00A73870"/>
    <w:rsid w:val="00A73C47"/>
    <w:rsid w:val="00A73EDB"/>
    <w:rsid w:val="00A73FAB"/>
    <w:rsid w:val="00A742BA"/>
    <w:rsid w:val="00A74359"/>
    <w:rsid w:val="00A7479F"/>
    <w:rsid w:val="00A749B7"/>
    <w:rsid w:val="00A74A3A"/>
    <w:rsid w:val="00A74CF9"/>
    <w:rsid w:val="00A75287"/>
    <w:rsid w:val="00A752F0"/>
    <w:rsid w:val="00A754B6"/>
    <w:rsid w:val="00A75594"/>
    <w:rsid w:val="00A75784"/>
    <w:rsid w:val="00A7582E"/>
    <w:rsid w:val="00A7599D"/>
    <w:rsid w:val="00A75A45"/>
    <w:rsid w:val="00A75B6B"/>
    <w:rsid w:val="00A75C7F"/>
    <w:rsid w:val="00A75FC1"/>
    <w:rsid w:val="00A7602D"/>
    <w:rsid w:val="00A76047"/>
    <w:rsid w:val="00A76236"/>
    <w:rsid w:val="00A765AD"/>
    <w:rsid w:val="00A76A03"/>
    <w:rsid w:val="00A76EF5"/>
    <w:rsid w:val="00A770D3"/>
    <w:rsid w:val="00A77205"/>
    <w:rsid w:val="00A7758E"/>
    <w:rsid w:val="00A77607"/>
    <w:rsid w:val="00A778D9"/>
    <w:rsid w:val="00A77BA5"/>
    <w:rsid w:val="00A77BCC"/>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1FE"/>
    <w:rsid w:val="00A826E5"/>
    <w:rsid w:val="00A827F3"/>
    <w:rsid w:val="00A82BBE"/>
    <w:rsid w:val="00A82D6A"/>
    <w:rsid w:val="00A83008"/>
    <w:rsid w:val="00A8302C"/>
    <w:rsid w:val="00A8313F"/>
    <w:rsid w:val="00A83197"/>
    <w:rsid w:val="00A8319E"/>
    <w:rsid w:val="00A8332F"/>
    <w:rsid w:val="00A83AC9"/>
    <w:rsid w:val="00A84111"/>
    <w:rsid w:val="00A84174"/>
    <w:rsid w:val="00A84251"/>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B05"/>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6BC"/>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5F1C"/>
    <w:rsid w:val="00A9602C"/>
    <w:rsid w:val="00A96087"/>
    <w:rsid w:val="00A961CD"/>
    <w:rsid w:val="00A961E2"/>
    <w:rsid w:val="00A96320"/>
    <w:rsid w:val="00A966EF"/>
    <w:rsid w:val="00A96E78"/>
    <w:rsid w:val="00A96FCD"/>
    <w:rsid w:val="00A972C2"/>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9D"/>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2ED1"/>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77"/>
    <w:rsid w:val="00AB5AFB"/>
    <w:rsid w:val="00AB5C2F"/>
    <w:rsid w:val="00AB60AB"/>
    <w:rsid w:val="00AB6555"/>
    <w:rsid w:val="00AB6569"/>
    <w:rsid w:val="00AB67D3"/>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96F"/>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BE2"/>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6CFA"/>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6A3"/>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E7F59"/>
    <w:rsid w:val="00AF0074"/>
    <w:rsid w:val="00AF04D7"/>
    <w:rsid w:val="00AF05B1"/>
    <w:rsid w:val="00AF0AE7"/>
    <w:rsid w:val="00AF0CF6"/>
    <w:rsid w:val="00AF0D9C"/>
    <w:rsid w:val="00AF10FE"/>
    <w:rsid w:val="00AF1384"/>
    <w:rsid w:val="00AF1689"/>
    <w:rsid w:val="00AF199D"/>
    <w:rsid w:val="00AF1D9F"/>
    <w:rsid w:val="00AF1F2E"/>
    <w:rsid w:val="00AF2158"/>
    <w:rsid w:val="00AF2177"/>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3BA"/>
    <w:rsid w:val="00AF56ED"/>
    <w:rsid w:val="00AF59F8"/>
    <w:rsid w:val="00AF5A04"/>
    <w:rsid w:val="00AF6ADC"/>
    <w:rsid w:val="00AF6E76"/>
    <w:rsid w:val="00AF6EDB"/>
    <w:rsid w:val="00AF70B0"/>
    <w:rsid w:val="00AF710A"/>
    <w:rsid w:val="00AF789D"/>
    <w:rsid w:val="00AF79BF"/>
    <w:rsid w:val="00AF7BED"/>
    <w:rsid w:val="00AF7CD0"/>
    <w:rsid w:val="00B0010A"/>
    <w:rsid w:val="00B005CE"/>
    <w:rsid w:val="00B006CC"/>
    <w:rsid w:val="00B00850"/>
    <w:rsid w:val="00B00AE5"/>
    <w:rsid w:val="00B00BE9"/>
    <w:rsid w:val="00B00D5B"/>
    <w:rsid w:val="00B00DC6"/>
    <w:rsid w:val="00B016B6"/>
    <w:rsid w:val="00B01A1D"/>
    <w:rsid w:val="00B01DF2"/>
    <w:rsid w:val="00B01F41"/>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59AE"/>
    <w:rsid w:val="00B061BA"/>
    <w:rsid w:val="00B0620A"/>
    <w:rsid w:val="00B0650F"/>
    <w:rsid w:val="00B06AFE"/>
    <w:rsid w:val="00B0703E"/>
    <w:rsid w:val="00B07357"/>
    <w:rsid w:val="00B077AD"/>
    <w:rsid w:val="00B0785E"/>
    <w:rsid w:val="00B078D6"/>
    <w:rsid w:val="00B078F0"/>
    <w:rsid w:val="00B07AC8"/>
    <w:rsid w:val="00B07B03"/>
    <w:rsid w:val="00B07E5D"/>
    <w:rsid w:val="00B10482"/>
    <w:rsid w:val="00B1055A"/>
    <w:rsid w:val="00B1084F"/>
    <w:rsid w:val="00B108B7"/>
    <w:rsid w:val="00B10B87"/>
    <w:rsid w:val="00B10BB8"/>
    <w:rsid w:val="00B10BCE"/>
    <w:rsid w:val="00B10FC6"/>
    <w:rsid w:val="00B1164D"/>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0D"/>
    <w:rsid w:val="00B134A1"/>
    <w:rsid w:val="00B135A7"/>
    <w:rsid w:val="00B13857"/>
    <w:rsid w:val="00B13BE1"/>
    <w:rsid w:val="00B13C26"/>
    <w:rsid w:val="00B13CDC"/>
    <w:rsid w:val="00B13D9B"/>
    <w:rsid w:val="00B141C5"/>
    <w:rsid w:val="00B1440B"/>
    <w:rsid w:val="00B145EC"/>
    <w:rsid w:val="00B147D5"/>
    <w:rsid w:val="00B148CD"/>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484"/>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0CF4"/>
    <w:rsid w:val="00B2145B"/>
    <w:rsid w:val="00B21858"/>
    <w:rsid w:val="00B21C11"/>
    <w:rsid w:val="00B21C98"/>
    <w:rsid w:val="00B21E74"/>
    <w:rsid w:val="00B22074"/>
    <w:rsid w:val="00B22626"/>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78D"/>
    <w:rsid w:val="00B259AC"/>
    <w:rsid w:val="00B26034"/>
    <w:rsid w:val="00B26125"/>
    <w:rsid w:val="00B26519"/>
    <w:rsid w:val="00B26843"/>
    <w:rsid w:val="00B26D5C"/>
    <w:rsid w:val="00B26EB0"/>
    <w:rsid w:val="00B27257"/>
    <w:rsid w:val="00B2784A"/>
    <w:rsid w:val="00B278C0"/>
    <w:rsid w:val="00B27A75"/>
    <w:rsid w:val="00B27C3F"/>
    <w:rsid w:val="00B27ED1"/>
    <w:rsid w:val="00B27FBA"/>
    <w:rsid w:val="00B30414"/>
    <w:rsid w:val="00B309F6"/>
    <w:rsid w:val="00B30DFD"/>
    <w:rsid w:val="00B30E90"/>
    <w:rsid w:val="00B30EAE"/>
    <w:rsid w:val="00B30EFE"/>
    <w:rsid w:val="00B312B3"/>
    <w:rsid w:val="00B31391"/>
    <w:rsid w:val="00B313E6"/>
    <w:rsid w:val="00B31747"/>
    <w:rsid w:val="00B31C8B"/>
    <w:rsid w:val="00B31CDC"/>
    <w:rsid w:val="00B32605"/>
    <w:rsid w:val="00B32655"/>
    <w:rsid w:val="00B32E41"/>
    <w:rsid w:val="00B32E50"/>
    <w:rsid w:val="00B3303D"/>
    <w:rsid w:val="00B3334C"/>
    <w:rsid w:val="00B334A9"/>
    <w:rsid w:val="00B3353E"/>
    <w:rsid w:val="00B33C2F"/>
    <w:rsid w:val="00B33CE3"/>
    <w:rsid w:val="00B3464F"/>
    <w:rsid w:val="00B34691"/>
    <w:rsid w:val="00B348A7"/>
    <w:rsid w:val="00B349D3"/>
    <w:rsid w:val="00B34F07"/>
    <w:rsid w:val="00B3504C"/>
    <w:rsid w:val="00B350F7"/>
    <w:rsid w:val="00B352FC"/>
    <w:rsid w:val="00B3533F"/>
    <w:rsid w:val="00B35565"/>
    <w:rsid w:val="00B363B9"/>
    <w:rsid w:val="00B368EE"/>
    <w:rsid w:val="00B36BCA"/>
    <w:rsid w:val="00B36E7F"/>
    <w:rsid w:val="00B36FC2"/>
    <w:rsid w:val="00B36FF9"/>
    <w:rsid w:val="00B372A9"/>
    <w:rsid w:val="00B374B3"/>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A39"/>
    <w:rsid w:val="00B42EB2"/>
    <w:rsid w:val="00B42EC1"/>
    <w:rsid w:val="00B42EED"/>
    <w:rsid w:val="00B430A7"/>
    <w:rsid w:val="00B432B8"/>
    <w:rsid w:val="00B43C6F"/>
    <w:rsid w:val="00B43EC2"/>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47C78"/>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587"/>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3C1"/>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AA6"/>
    <w:rsid w:val="00B64C73"/>
    <w:rsid w:val="00B64DAC"/>
    <w:rsid w:val="00B64F56"/>
    <w:rsid w:val="00B65101"/>
    <w:rsid w:val="00B65295"/>
    <w:rsid w:val="00B6535C"/>
    <w:rsid w:val="00B6552F"/>
    <w:rsid w:val="00B6570B"/>
    <w:rsid w:val="00B65952"/>
    <w:rsid w:val="00B65B85"/>
    <w:rsid w:val="00B65CA2"/>
    <w:rsid w:val="00B65D7B"/>
    <w:rsid w:val="00B65F95"/>
    <w:rsid w:val="00B65FFE"/>
    <w:rsid w:val="00B660A8"/>
    <w:rsid w:val="00B661BF"/>
    <w:rsid w:val="00B6632F"/>
    <w:rsid w:val="00B6637D"/>
    <w:rsid w:val="00B66452"/>
    <w:rsid w:val="00B66A16"/>
    <w:rsid w:val="00B66E05"/>
    <w:rsid w:val="00B66EBD"/>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0FD3"/>
    <w:rsid w:val="00B7110F"/>
    <w:rsid w:val="00B712D5"/>
    <w:rsid w:val="00B7139C"/>
    <w:rsid w:val="00B71591"/>
    <w:rsid w:val="00B7180C"/>
    <w:rsid w:val="00B71C65"/>
    <w:rsid w:val="00B71DD5"/>
    <w:rsid w:val="00B71E36"/>
    <w:rsid w:val="00B722AB"/>
    <w:rsid w:val="00B72328"/>
    <w:rsid w:val="00B724EF"/>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E6A"/>
    <w:rsid w:val="00B75F41"/>
    <w:rsid w:val="00B760B6"/>
    <w:rsid w:val="00B76301"/>
    <w:rsid w:val="00B765DF"/>
    <w:rsid w:val="00B76840"/>
    <w:rsid w:val="00B76DAB"/>
    <w:rsid w:val="00B76DBC"/>
    <w:rsid w:val="00B76DC9"/>
    <w:rsid w:val="00B76DE4"/>
    <w:rsid w:val="00B76E25"/>
    <w:rsid w:val="00B77217"/>
    <w:rsid w:val="00B77234"/>
    <w:rsid w:val="00B77470"/>
    <w:rsid w:val="00B77493"/>
    <w:rsid w:val="00B77797"/>
    <w:rsid w:val="00B77943"/>
    <w:rsid w:val="00B77BB0"/>
    <w:rsid w:val="00B77E56"/>
    <w:rsid w:val="00B80581"/>
    <w:rsid w:val="00B8062C"/>
    <w:rsid w:val="00B80940"/>
    <w:rsid w:val="00B80C6F"/>
    <w:rsid w:val="00B80D7A"/>
    <w:rsid w:val="00B80D84"/>
    <w:rsid w:val="00B80D99"/>
    <w:rsid w:val="00B815B7"/>
    <w:rsid w:val="00B8162A"/>
    <w:rsid w:val="00B816F2"/>
    <w:rsid w:val="00B81DFD"/>
    <w:rsid w:val="00B824C3"/>
    <w:rsid w:val="00B82E9E"/>
    <w:rsid w:val="00B831C6"/>
    <w:rsid w:val="00B831FD"/>
    <w:rsid w:val="00B833D6"/>
    <w:rsid w:val="00B83410"/>
    <w:rsid w:val="00B83482"/>
    <w:rsid w:val="00B838D9"/>
    <w:rsid w:val="00B839D2"/>
    <w:rsid w:val="00B83E6F"/>
    <w:rsid w:val="00B83EAD"/>
    <w:rsid w:val="00B83EB6"/>
    <w:rsid w:val="00B841C4"/>
    <w:rsid w:val="00B8459C"/>
    <w:rsid w:val="00B8466B"/>
    <w:rsid w:val="00B8485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DB"/>
    <w:rsid w:val="00B878E5"/>
    <w:rsid w:val="00B90229"/>
    <w:rsid w:val="00B903D4"/>
    <w:rsid w:val="00B90513"/>
    <w:rsid w:val="00B90588"/>
    <w:rsid w:val="00B906B1"/>
    <w:rsid w:val="00B907A6"/>
    <w:rsid w:val="00B90C2B"/>
    <w:rsid w:val="00B90D33"/>
    <w:rsid w:val="00B91085"/>
    <w:rsid w:val="00B91266"/>
    <w:rsid w:val="00B9133E"/>
    <w:rsid w:val="00B9134B"/>
    <w:rsid w:val="00B9137B"/>
    <w:rsid w:val="00B91503"/>
    <w:rsid w:val="00B9155A"/>
    <w:rsid w:val="00B917C3"/>
    <w:rsid w:val="00B917D0"/>
    <w:rsid w:val="00B917F0"/>
    <w:rsid w:val="00B91FC9"/>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488"/>
    <w:rsid w:val="00B946B6"/>
    <w:rsid w:val="00B946BE"/>
    <w:rsid w:val="00B947A8"/>
    <w:rsid w:val="00B94F99"/>
    <w:rsid w:val="00B94FD2"/>
    <w:rsid w:val="00B950D3"/>
    <w:rsid w:val="00B955A6"/>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06"/>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9C5"/>
    <w:rsid w:val="00BB0AA0"/>
    <w:rsid w:val="00BB0B8E"/>
    <w:rsid w:val="00BB0D18"/>
    <w:rsid w:val="00BB0EB6"/>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B1"/>
    <w:rsid w:val="00BB3C0E"/>
    <w:rsid w:val="00BB3E51"/>
    <w:rsid w:val="00BB430F"/>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984"/>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4C"/>
    <w:rsid w:val="00BD08AD"/>
    <w:rsid w:val="00BD0A3D"/>
    <w:rsid w:val="00BD0B38"/>
    <w:rsid w:val="00BD18E7"/>
    <w:rsid w:val="00BD198A"/>
    <w:rsid w:val="00BD1F29"/>
    <w:rsid w:val="00BD205D"/>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5F0"/>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8FA"/>
    <w:rsid w:val="00BE0CBF"/>
    <w:rsid w:val="00BE0E19"/>
    <w:rsid w:val="00BE19B0"/>
    <w:rsid w:val="00BE1D6C"/>
    <w:rsid w:val="00BE20E8"/>
    <w:rsid w:val="00BE2162"/>
    <w:rsid w:val="00BE2294"/>
    <w:rsid w:val="00BE236C"/>
    <w:rsid w:val="00BE250D"/>
    <w:rsid w:val="00BE2629"/>
    <w:rsid w:val="00BE2825"/>
    <w:rsid w:val="00BE296B"/>
    <w:rsid w:val="00BE2A07"/>
    <w:rsid w:val="00BE31DD"/>
    <w:rsid w:val="00BE35D9"/>
    <w:rsid w:val="00BE36E1"/>
    <w:rsid w:val="00BE3870"/>
    <w:rsid w:val="00BE3AEC"/>
    <w:rsid w:val="00BE3B50"/>
    <w:rsid w:val="00BE3D93"/>
    <w:rsid w:val="00BE3E61"/>
    <w:rsid w:val="00BE3ED2"/>
    <w:rsid w:val="00BE49C4"/>
    <w:rsid w:val="00BE4E22"/>
    <w:rsid w:val="00BE4FB5"/>
    <w:rsid w:val="00BE5057"/>
    <w:rsid w:val="00BE50E7"/>
    <w:rsid w:val="00BE5103"/>
    <w:rsid w:val="00BE5170"/>
    <w:rsid w:val="00BE51CC"/>
    <w:rsid w:val="00BE52F8"/>
    <w:rsid w:val="00BE5705"/>
    <w:rsid w:val="00BE5CC6"/>
    <w:rsid w:val="00BE5DE8"/>
    <w:rsid w:val="00BE63E2"/>
    <w:rsid w:val="00BE640A"/>
    <w:rsid w:val="00BE68E7"/>
    <w:rsid w:val="00BE695E"/>
    <w:rsid w:val="00BE6BDE"/>
    <w:rsid w:val="00BE6DE2"/>
    <w:rsid w:val="00BE6E0D"/>
    <w:rsid w:val="00BE6F1F"/>
    <w:rsid w:val="00BE7044"/>
    <w:rsid w:val="00BE713E"/>
    <w:rsid w:val="00BE714C"/>
    <w:rsid w:val="00BE734B"/>
    <w:rsid w:val="00BE75AB"/>
    <w:rsid w:val="00BE79A6"/>
    <w:rsid w:val="00BE7D01"/>
    <w:rsid w:val="00BF024F"/>
    <w:rsid w:val="00BF0291"/>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746"/>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480"/>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23D"/>
    <w:rsid w:val="00C02312"/>
    <w:rsid w:val="00C0231F"/>
    <w:rsid w:val="00C02444"/>
    <w:rsid w:val="00C0264E"/>
    <w:rsid w:val="00C029FF"/>
    <w:rsid w:val="00C0301C"/>
    <w:rsid w:val="00C030CB"/>
    <w:rsid w:val="00C03159"/>
    <w:rsid w:val="00C03305"/>
    <w:rsid w:val="00C0349C"/>
    <w:rsid w:val="00C035C0"/>
    <w:rsid w:val="00C036F8"/>
    <w:rsid w:val="00C03B48"/>
    <w:rsid w:val="00C03B93"/>
    <w:rsid w:val="00C03E62"/>
    <w:rsid w:val="00C040CE"/>
    <w:rsid w:val="00C04175"/>
    <w:rsid w:val="00C04184"/>
    <w:rsid w:val="00C04306"/>
    <w:rsid w:val="00C04747"/>
    <w:rsid w:val="00C047F5"/>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E1"/>
    <w:rsid w:val="00C07B97"/>
    <w:rsid w:val="00C07BCB"/>
    <w:rsid w:val="00C07CC5"/>
    <w:rsid w:val="00C07DD8"/>
    <w:rsid w:val="00C10B72"/>
    <w:rsid w:val="00C10D86"/>
    <w:rsid w:val="00C10F0C"/>
    <w:rsid w:val="00C10F10"/>
    <w:rsid w:val="00C1121C"/>
    <w:rsid w:val="00C11527"/>
    <w:rsid w:val="00C11652"/>
    <w:rsid w:val="00C1178A"/>
    <w:rsid w:val="00C117BD"/>
    <w:rsid w:val="00C11845"/>
    <w:rsid w:val="00C1187C"/>
    <w:rsid w:val="00C11B21"/>
    <w:rsid w:val="00C11B54"/>
    <w:rsid w:val="00C11D41"/>
    <w:rsid w:val="00C11DBD"/>
    <w:rsid w:val="00C11E44"/>
    <w:rsid w:val="00C120D2"/>
    <w:rsid w:val="00C121B3"/>
    <w:rsid w:val="00C124F7"/>
    <w:rsid w:val="00C124FF"/>
    <w:rsid w:val="00C125FB"/>
    <w:rsid w:val="00C12858"/>
    <w:rsid w:val="00C12B9D"/>
    <w:rsid w:val="00C12BFA"/>
    <w:rsid w:val="00C1303F"/>
    <w:rsid w:val="00C13453"/>
    <w:rsid w:val="00C135D2"/>
    <w:rsid w:val="00C136AD"/>
    <w:rsid w:val="00C137AE"/>
    <w:rsid w:val="00C138B9"/>
    <w:rsid w:val="00C138FB"/>
    <w:rsid w:val="00C13956"/>
    <w:rsid w:val="00C13B7C"/>
    <w:rsid w:val="00C13F8D"/>
    <w:rsid w:val="00C13FBA"/>
    <w:rsid w:val="00C14200"/>
    <w:rsid w:val="00C144B8"/>
    <w:rsid w:val="00C14776"/>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751"/>
    <w:rsid w:val="00C20AE9"/>
    <w:rsid w:val="00C20D77"/>
    <w:rsid w:val="00C20EC4"/>
    <w:rsid w:val="00C20FC9"/>
    <w:rsid w:val="00C21146"/>
    <w:rsid w:val="00C211B9"/>
    <w:rsid w:val="00C2128F"/>
    <w:rsid w:val="00C21454"/>
    <w:rsid w:val="00C21492"/>
    <w:rsid w:val="00C215DA"/>
    <w:rsid w:val="00C21687"/>
    <w:rsid w:val="00C21772"/>
    <w:rsid w:val="00C21837"/>
    <w:rsid w:val="00C219C0"/>
    <w:rsid w:val="00C21DF3"/>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61"/>
    <w:rsid w:val="00C25691"/>
    <w:rsid w:val="00C2578E"/>
    <w:rsid w:val="00C25850"/>
    <w:rsid w:val="00C25B9B"/>
    <w:rsid w:val="00C25E57"/>
    <w:rsid w:val="00C25FC2"/>
    <w:rsid w:val="00C2657B"/>
    <w:rsid w:val="00C266A8"/>
    <w:rsid w:val="00C26A79"/>
    <w:rsid w:val="00C26B1D"/>
    <w:rsid w:val="00C26E1B"/>
    <w:rsid w:val="00C272D4"/>
    <w:rsid w:val="00C2737B"/>
    <w:rsid w:val="00C274FC"/>
    <w:rsid w:val="00C279E4"/>
    <w:rsid w:val="00C279F6"/>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06"/>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66"/>
    <w:rsid w:val="00C375A7"/>
    <w:rsid w:val="00C37881"/>
    <w:rsid w:val="00C37DFA"/>
    <w:rsid w:val="00C402E4"/>
    <w:rsid w:val="00C4068C"/>
    <w:rsid w:val="00C409B4"/>
    <w:rsid w:val="00C40A78"/>
    <w:rsid w:val="00C40D95"/>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5C0"/>
    <w:rsid w:val="00C438FE"/>
    <w:rsid w:val="00C43932"/>
    <w:rsid w:val="00C43A8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0A7"/>
    <w:rsid w:val="00C516CD"/>
    <w:rsid w:val="00C51836"/>
    <w:rsid w:val="00C519E8"/>
    <w:rsid w:val="00C51AB6"/>
    <w:rsid w:val="00C51BE7"/>
    <w:rsid w:val="00C51D43"/>
    <w:rsid w:val="00C522AB"/>
    <w:rsid w:val="00C522DA"/>
    <w:rsid w:val="00C5238F"/>
    <w:rsid w:val="00C52395"/>
    <w:rsid w:val="00C52689"/>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0D1"/>
    <w:rsid w:val="00C55185"/>
    <w:rsid w:val="00C551B7"/>
    <w:rsid w:val="00C55445"/>
    <w:rsid w:val="00C55D06"/>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6BC"/>
    <w:rsid w:val="00C61A0F"/>
    <w:rsid w:val="00C61E29"/>
    <w:rsid w:val="00C62184"/>
    <w:rsid w:val="00C6225C"/>
    <w:rsid w:val="00C62641"/>
    <w:rsid w:val="00C627C7"/>
    <w:rsid w:val="00C62962"/>
    <w:rsid w:val="00C62AA7"/>
    <w:rsid w:val="00C62B3B"/>
    <w:rsid w:val="00C62C29"/>
    <w:rsid w:val="00C63058"/>
    <w:rsid w:val="00C63362"/>
    <w:rsid w:val="00C63397"/>
    <w:rsid w:val="00C6346D"/>
    <w:rsid w:val="00C635AE"/>
    <w:rsid w:val="00C63873"/>
    <w:rsid w:val="00C63A3C"/>
    <w:rsid w:val="00C63AF7"/>
    <w:rsid w:val="00C63BB5"/>
    <w:rsid w:val="00C63C82"/>
    <w:rsid w:val="00C63E9B"/>
    <w:rsid w:val="00C63EF5"/>
    <w:rsid w:val="00C63F55"/>
    <w:rsid w:val="00C64235"/>
    <w:rsid w:val="00C64682"/>
    <w:rsid w:val="00C64768"/>
    <w:rsid w:val="00C647FD"/>
    <w:rsid w:val="00C64839"/>
    <w:rsid w:val="00C64842"/>
    <w:rsid w:val="00C648B6"/>
    <w:rsid w:val="00C64F9B"/>
    <w:rsid w:val="00C65244"/>
    <w:rsid w:val="00C653D3"/>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8A"/>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1FA6"/>
    <w:rsid w:val="00C720C2"/>
    <w:rsid w:val="00C7236C"/>
    <w:rsid w:val="00C724D9"/>
    <w:rsid w:val="00C725E4"/>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4F51"/>
    <w:rsid w:val="00C75041"/>
    <w:rsid w:val="00C7506F"/>
    <w:rsid w:val="00C751BA"/>
    <w:rsid w:val="00C754FE"/>
    <w:rsid w:val="00C75748"/>
    <w:rsid w:val="00C758E3"/>
    <w:rsid w:val="00C75AC6"/>
    <w:rsid w:val="00C75BF7"/>
    <w:rsid w:val="00C75F0A"/>
    <w:rsid w:val="00C760B3"/>
    <w:rsid w:val="00C763E5"/>
    <w:rsid w:val="00C7651C"/>
    <w:rsid w:val="00C76615"/>
    <w:rsid w:val="00C7666B"/>
    <w:rsid w:val="00C76A19"/>
    <w:rsid w:val="00C76BFC"/>
    <w:rsid w:val="00C77068"/>
    <w:rsid w:val="00C7741C"/>
    <w:rsid w:val="00C77731"/>
    <w:rsid w:val="00C778BD"/>
    <w:rsid w:val="00C779E4"/>
    <w:rsid w:val="00C80077"/>
    <w:rsid w:val="00C80216"/>
    <w:rsid w:val="00C8061A"/>
    <w:rsid w:val="00C8088F"/>
    <w:rsid w:val="00C80A77"/>
    <w:rsid w:val="00C80D4F"/>
    <w:rsid w:val="00C80F40"/>
    <w:rsid w:val="00C81045"/>
    <w:rsid w:val="00C811CD"/>
    <w:rsid w:val="00C812B7"/>
    <w:rsid w:val="00C81361"/>
    <w:rsid w:val="00C813AF"/>
    <w:rsid w:val="00C81642"/>
    <w:rsid w:val="00C816DA"/>
    <w:rsid w:val="00C8175A"/>
    <w:rsid w:val="00C81824"/>
    <w:rsid w:val="00C818E9"/>
    <w:rsid w:val="00C8197A"/>
    <w:rsid w:val="00C81A36"/>
    <w:rsid w:val="00C82313"/>
    <w:rsid w:val="00C82514"/>
    <w:rsid w:val="00C827A5"/>
    <w:rsid w:val="00C8280C"/>
    <w:rsid w:val="00C82C07"/>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279"/>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29A"/>
    <w:rsid w:val="00C9357F"/>
    <w:rsid w:val="00C93CCF"/>
    <w:rsid w:val="00C93D30"/>
    <w:rsid w:val="00C93ECB"/>
    <w:rsid w:val="00C93F36"/>
    <w:rsid w:val="00C94183"/>
    <w:rsid w:val="00C947DC"/>
    <w:rsid w:val="00C94809"/>
    <w:rsid w:val="00C94884"/>
    <w:rsid w:val="00C9499B"/>
    <w:rsid w:val="00C94D46"/>
    <w:rsid w:val="00C94FCD"/>
    <w:rsid w:val="00C95300"/>
    <w:rsid w:val="00C95541"/>
    <w:rsid w:val="00C9585A"/>
    <w:rsid w:val="00C958F9"/>
    <w:rsid w:val="00C95C73"/>
    <w:rsid w:val="00C9603C"/>
    <w:rsid w:val="00C96366"/>
    <w:rsid w:val="00C96938"/>
    <w:rsid w:val="00C96C2E"/>
    <w:rsid w:val="00C96CA0"/>
    <w:rsid w:val="00C96D4B"/>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10"/>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6D9"/>
    <w:rsid w:val="00CA47F0"/>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08"/>
    <w:rsid w:val="00CB3735"/>
    <w:rsid w:val="00CB387A"/>
    <w:rsid w:val="00CB3968"/>
    <w:rsid w:val="00CB3BD1"/>
    <w:rsid w:val="00CB3C0F"/>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5F2"/>
    <w:rsid w:val="00CB660F"/>
    <w:rsid w:val="00CB6A84"/>
    <w:rsid w:val="00CB6C60"/>
    <w:rsid w:val="00CB6D80"/>
    <w:rsid w:val="00CB6EE9"/>
    <w:rsid w:val="00CB6F82"/>
    <w:rsid w:val="00CB72A3"/>
    <w:rsid w:val="00CB755C"/>
    <w:rsid w:val="00CB75EB"/>
    <w:rsid w:val="00CB7A88"/>
    <w:rsid w:val="00CB7AFE"/>
    <w:rsid w:val="00CB7B6F"/>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93B"/>
    <w:rsid w:val="00CC3E05"/>
    <w:rsid w:val="00CC4183"/>
    <w:rsid w:val="00CC43EC"/>
    <w:rsid w:val="00CC45C6"/>
    <w:rsid w:val="00CC4C7F"/>
    <w:rsid w:val="00CC4CAF"/>
    <w:rsid w:val="00CC4D0F"/>
    <w:rsid w:val="00CC4D46"/>
    <w:rsid w:val="00CC5071"/>
    <w:rsid w:val="00CC5280"/>
    <w:rsid w:val="00CC5383"/>
    <w:rsid w:val="00CC5E31"/>
    <w:rsid w:val="00CC5F6D"/>
    <w:rsid w:val="00CC665B"/>
    <w:rsid w:val="00CC6F30"/>
    <w:rsid w:val="00CC6FF1"/>
    <w:rsid w:val="00CC7024"/>
    <w:rsid w:val="00CC7105"/>
    <w:rsid w:val="00CC7175"/>
    <w:rsid w:val="00CC771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6"/>
    <w:rsid w:val="00CD2057"/>
    <w:rsid w:val="00CD2191"/>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1E6"/>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B0"/>
    <w:rsid w:val="00CE39D8"/>
    <w:rsid w:val="00CE3E7F"/>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437"/>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A8"/>
    <w:rsid w:val="00CF42C3"/>
    <w:rsid w:val="00CF43F8"/>
    <w:rsid w:val="00CF4593"/>
    <w:rsid w:val="00CF4732"/>
    <w:rsid w:val="00CF479A"/>
    <w:rsid w:val="00CF47B0"/>
    <w:rsid w:val="00CF4A1A"/>
    <w:rsid w:val="00CF4CE0"/>
    <w:rsid w:val="00CF503F"/>
    <w:rsid w:val="00CF539E"/>
    <w:rsid w:val="00CF53D4"/>
    <w:rsid w:val="00CF5CE7"/>
    <w:rsid w:val="00CF69E1"/>
    <w:rsid w:val="00CF69E7"/>
    <w:rsid w:val="00CF6BBB"/>
    <w:rsid w:val="00CF6CF9"/>
    <w:rsid w:val="00CF6CFA"/>
    <w:rsid w:val="00CF73B4"/>
    <w:rsid w:val="00CF76A4"/>
    <w:rsid w:val="00CF7713"/>
    <w:rsid w:val="00CF79FB"/>
    <w:rsid w:val="00CF7D32"/>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4B"/>
    <w:rsid w:val="00D112A1"/>
    <w:rsid w:val="00D1133C"/>
    <w:rsid w:val="00D11464"/>
    <w:rsid w:val="00D1146A"/>
    <w:rsid w:val="00D114C7"/>
    <w:rsid w:val="00D115E5"/>
    <w:rsid w:val="00D117E3"/>
    <w:rsid w:val="00D1198C"/>
    <w:rsid w:val="00D12091"/>
    <w:rsid w:val="00D1219B"/>
    <w:rsid w:val="00D121A3"/>
    <w:rsid w:val="00D121C0"/>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30"/>
    <w:rsid w:val="00D164C8"/>
    <w:rsid w:val="00D16841"/>
    <w:rsid w:val="00D168E6"/>
    <w:rsid w:val="00D16A78"/>
    <w:rsid w:val="00D171CF"/>
    <w:rsid w:val="00D172D5"/>
    <w:rsid w:val="00D17718"/>
    <w:rsid w:val="00D17A23"/>
    <w:rsid w:val="00D17BDE"/>
    <w:rsid w:val="00D17FB2"/>
    <w:rsid w:val="00D20227"/>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C84"/>
    <w:rsid w:val="00D25D8A"/>
    <w:rsid w:val="00D26150"/>
    <w:rsid w:val="00D2625A"/>
    <w:rsid w:val="00D26483"/>
    <w:rsid w:val="00D2687D"/>
    <w:rsid w:val="00D26BAE"/>
    <w:rsid w:val="00D26E78"/>
    <w:rsid w:val="00D270B1"/>
    <w:rsid w:val="00D273CB"/>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951"/>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98"/>
    <w:rsid w:val="00D374EC"/>
    <w:rsid w:val="00D37C6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0F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A60"/>
    <w:rsid w:val="00D45CAD"/>
    <w:rsid w:val="00D45DC2"/>
    <w:rsid w:val="00D46BCB"/>
    <w:rsid w:val="00D46D3E"/>
    <w:rsid w:val="00D46F55"/>
    <w:rsid w:val="00D47160"/>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CEB"/>
    <w:rsid w:val="00D53D0E"/>
    <w:rsid w:val="00D53F07"/>
    <w:rsid w:val="00D5446D"/>
    <w:rsid w:val="00D54833"/>
    <w:rsid w:val="00D548B2"/>
    <w:rsid w:val="00D549F5"/>
    <w:rsid w:val="00D549F9"/>
    <w:rsid w:val="00D54D4D"/>
    <w:rsid w:val="00D552E5"/>
    <w:rsid w:val="00D55448"/>
    <w:rsid w:val="00D55637"/>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673"/>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051"/>
    <w:rsid w:val="00D63446"/>
    <w:rsid w:val="00D635E6"/>
    <w:rsid w:val="00D6360E"/>
    <w:rsid w:val="00D63692"/>
    <w:rsid w:val="00D6378B"/>
    <w:rsid w:val="00D638BC"/>
    <w:rsid w:val="00D6395E"/>
    <w:rsid w:val="00D63A15"/>
    <w:rsid w:val="00D63B59"/>
    <w:rsid w:val="00D63C08"/>
    <w:rsid w:val="00D63DA0"/>
    <w:rsid w:val="00D63F3E"/>
    <w:rsid w:val="00D643E5"/>
    <w:rsid w:val="00D643EA"/>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20F"/>
    <w:rsid w:val="00D73319"/>
    <w:rsid w:val="00D736A7"/>
    <w:rsid w:val="00D73885"/>
    <w:rsid w:val="00D7394E"/>
    <w:rsid w:val="00D740C3"/>
    <w:rsid w:val="00D7417B"/>
    <w:rsid w:val="00D74676"/>
    <w:rsid w:val="00D746E6"/>
    <w:rsid w:val="00D74A65"/>
    <w:rsid w:val="00D74B3B"/>
    <w:rsid w:val="00D74BCE"/>
    <w:rsid w:val="00D74D0B"/>
    <w:rsid w:val="00D752F5"/>
    <w:rsid w:val="00D75304"/>
    <w:rsid w:val="00D7542F"/>
    <w:rsid w:val="00D7573D"/>
    <w:rsid w:val="00D75757"/>
    <w:rsid w:val="00D757ED"/>
    <w:rsid w:val="00D75A59"/>
    <w:rsid w:val="00D75EC6"/>
    <w:rsid w:val="00D75FFF"/>
    <w:rsid w:val="00D76133"/>
    <w:rsid w:val="00D765C0"/>
    <w:rsid w:val="00D7662F"/>
    <w:rsid w:val="00D766CA"/>
    <w:rsid w:val="00D7680C"/>
    <w:rsid w:val="00D76E80"/>
    <w:rsid w:val="00D7708E"/>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6A8"/>
    <w:rsid w:val="00D838B1"/>
    <w:rsid w:val="00D838DB"/>
    <w:rsid w:val="00D83A6E"/>
    <w:rsid w:val="00D83BEF"/>
    <w:rsid w:val="00D84013"/>
    <w:rsid w:val="00D84070"/>
    <w:rsid w:val="00D84076"/>
    <w:rsid w:val="00D84135"/>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CA"/>
    <w:rsid w:val="00D932D1"/>
    <w:rsid w:val="00D933F0"/>
    <w:rsid w:val="00D9350F"/>
    <w:rsid w:val="00D937DD"/>
    <w:rsid w:val="00D938DC"/>
    <w:rsid w:val="00D93B05"/>
    <w:rsid w:val="00D93B7C"/>
    <w:rsid w:val="00D93D2F"/>
    <w:rsid w:val="00D93F18"/>
    <w:rsid w:val="00D9400A"/>
    <w:rsid w:val="00D9418C"/>
    <w:rsid w:val="00D945E6"/>
    <w:rsid w:val="00D94AA2"/>
    <w:rsid w:val="00D9513B"/>
    <w:rsid w:val="00D95487"/>
    <w:rsid w:val="00D95675"/>
    <w:rsid w:val="00D95C43"/>
    <w:rsid w:val="00D95F60"/>
    <w:rsid w:val="00D96119"/>
    <w:rsid w:val="00D963B1"/>
    <w:rsid w:val="00D96509"/>
    <w:rsid w:val="00D9697E"/>
    <w:rsid w:val="00D96F96"/>
    <w:rsid w:val="00D974FE"/>
    <w:rsid w:val="00D97896"/>
    <w:rsid w:val="00D978B2"/>
    <w:rsid w:val="00D97A93"/>
    <w:rsid w:val="00D97D5F"/>
    <w:rsid w:val="00D97EDD"/>
    <w:rsid w:val="00D97FF4"/>
    <w:rsid w:val="00DA0468"/>
    <w:rsid w:val="00DA05C5"/>
    <w:rsid w:val="00DA06A5"/>
    <w:rsid w:val="00DA0E14"/>
    <w:rsid w:val="00DA10E9"/>
    <w:rsid w:val="00DA12D2"/>
    <w:rsid w:val="00DA12F2"/>
    <w:rsid w:val="00DA1392"/>
    <w:rsid w:val="00DA140A"/>
    <w:rsid w:val="00DA1AC3"/>
    <w:rsid w:val="00DA1B78"/>
    <w:rsid w:val="00DA1DF2"/>
    <w:rsid w:val="00DA1F5C"/>
    <w:rsid w:val="00DA201E"/>
    <w:rsid w:val="00DA203C"/>
    <w:rsid w:val="00DA2223"/>
    <w:rsid w:val="00DA24EF"/>
    <w:rsid w:val="00DA24F1"/>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5489"/>
    <w:rsid w:val="00DA59FB"/>
    <w:rsid w:val="00DA5BF7"/>
    <w:rsid w:val="00DA5D6F"/>
    <w:rsid w:val="00DA6009"/>
    <w:rsid w:val="00DA6492"/>
    <w:rsid w:val="00DA6A6A"/>
    <w:rsid w:val="00DA6D15"/>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BF3"/>
    <w:rsid w:val="00DB0C28"/>
    <w:rsid w:val="00DB0C51"/>
    <w:rsid w:val="00DB0C7E"/>
    <w:rsid w:val="00DB0DEF"/>
    <w:rsid w:val="00DB1188"/>
    <w:rsid w:val="00DB11B2"/>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C80"/>
    <w:rsid w:val="00DB4EC0"/>
    <w:rsid w:val="00DB5476"/>
    <w:rsid w:val="00DB568D"/>
    <w:rsid w:val="00DB57E1"/>
    <w:rsid w:val="00DB5BC5"/>
    <w:rsid w:val="00DB5CF4"/>
    <w:rsid w:val="00DB5D3D"/>
    <w:rsid w:val="00DB6051"/>
    <w:rsid w:val="00DB639C"/>
    <w:rsid w:val="00DB64DD"/>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4B4"/>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205"/>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ED"/>
    <w:rsid w:val="00DC6DDE"/>
    <w:rsid w:val="00DC6FF4"/>
    <w:rsid w:val="00DC7284"/>
    <w:rsid w:val="00DC75A2"/>
    <w:rsid w:val="00DC78BC"/>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02D"/>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0E6"/>
    <w:rsid w:val="00DD5488"/>
    <w:rsid w:val="00DD5606"/>
    <w:rsid w:val="00DD5CA0"/>
    <w:rsid w:val="00DD5D0B"/>
    <w:rsid w:val="00DD5EDC"/>
    <w:rsid w:val="00DD5F74"/>
    <w:rsid w:val="00DD6051"/>
    <w:rsid w:val="00DD613B"/>
    <w:rsid w:val="00DD6594"/>
    <w:rsid w:val="00DD6B59"/>
    <w:rsid w:val="00DD6E78"/>
    <w:rsid w:val="00DD6F96"/>
    <w:rsid w:val="00DD6F9E"/>
    <w:rsid w:val="00DD6FB1"/>
    <w:rsid w:val="00DD72DF"/>
    <w:rsid w:val="00DD74F8"/>
    <w:rsid w:val="00DD7818"/>
    <w:rsid w:val="00DE027D"/>
    <w:rsid w:val="00DE08CC"/>
    <w:rsid w:val="00DE0B62"/>
    <w:rsid w:val="00DE0C45"/>
    <w:rsid w:val="00DE0D72"/>
    <w:rsid w:val="00DE0F92"/>
    <w:rsid w:val="00DE0FA9"/>
    <w:rsid w:val="00DE1183"/>
    <w:rsid w:val="00DE1311"/>
    <w:rsid w:val="00DE149D"/>
    <w:rsid w:val="00DE1C38"/>
    <w:rsid w:val="00DE1D3C"/>
    <w:rsid w:val="00DE1DE5"/>
    <w:rsid w:val="00DE216C"/>
    <w:rsid w:val="00DE2373"/>
    <w:rsid w:val="00DE256A"/>
    <w:rsid w:val="00DE25C4"/>
    <w:rsid w:val="00DE2685"/>
    <w:rsid w:val="00DE2918"/>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70"/>
    <w:rsid w:val="00DE5CEB"/>
    <w:rsid w:val="00DE5E62"/>
    <w:rsid w:val="00DE5ED6"/>
    <w:rsid w:val="00DE62F6"/>
    <w:rsid w:val="00DE6335"/>
    <w:rsid w:val="00DE66F5"/>
    <w:rsid w:val="00DE6AF2"/>
    <w:rsid w:val="00DE70EE"/>
    <w:rsid w:val="00DE77E8"/>
    <w:rsid w:val="00DE7A0A"/>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438"/>
    <w:rsid w:val="00DF55FB"/>
    <w:rsid w:val="00DF5BB7"/>
    <w:rsid w:val="00DF5BFF"/>
    <w:rsid w:val="00DF5C15"/>
    <w:rsid w:val="00DF6089"/>
    <w:rsid w:val="00DF6105"/>
    <w:rsid w:val="00DF638C"/>
    <w:rsid w:val="00DF67B9"/>
    <w:rsid w:val="00DF699C"/>
    <w:rsid w:val="00DF69C2"/>
    <w:rsid w:val="00DF6B1F"/>
    <w:rsid w:val="00DF6CB3"/>
    <w:rsid w:val="00DF7171"/>
    <w:rsid w:val="00DF72FC"/>
    <w:rsid w:val="00DF72FD"/>
    <w:rsid w:val="00DF74FF"/>
    <w:rsid w:val="00DF751E"/>
    <w:rsid w:val="00DF76C1"/>
    <w:rsid w:val="00DF7816"/>
    <w:rsid w:val="00DF7B84"/>
    <w:rsid w:val="00DF7C89"/>
    <w:rsid w:val="00DF7DE4"/>
    <w:rsid w:val="00DF7E78"/>
    <w:rsid w:val="00E00324"/>
    <w:rsid w:val="00E004A4"/>
    <w:rsid w:val="00E006B5"/>
    <w:rsid w:val="00E009D5"/>
    <w:rsid w:val="00E00B87"/>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DF"/>
    <w:rsid w:val="00E04879"/>
    <w:rsid w:val="00E04C2D"/>
    <w:rsid w:val="00E04C71"/>
    <w:rsid w:val="00E04E48"/>
    <w:rsid w:val="00E055D1"/>
    <w:rsid w:val="00E055D8"/>
    <w:rsid w:val="00E05A08"/>
    <w:rsid w:val="00E05DDE"/>
    <w:rsid w:val="00E06066"/>
    <w:rsid w:val="00E06175"/>
    <w:rsid w:val="00E062FE"/>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70D"/>
    <w:rsid w:val="00E1211F"/>
    <w:rsid w:val="00E1224C"/>
    <w:rsid w:val="00E123E5"/>
    <w:rsid w:val="00E12480"/>
    <w:rsid w:val="00E1278F"/>
    <w:rsid w:val="00E12A72"/>
    <w:rsid w:val="00E12AEA"/>
    <w:rsid w:val="00E12AEF"/>
    <w:rsid w:val="00E12CAB"/>
    <w:rsid w:val="00E12D15"/>
    <w:rsid w:val="00E12F38"/>
    <w:rsid w:val="00E14225"/>
    <w:rsid w:val="00E1446D"/>
    <w:rsid w:val="00E149FF"/>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493"/>
    <w:rsid w:val="00E177C5"/>
    <w:rsid w:val="00E1795F"/>
    <w:rsid w:val="00E17C98"/>
    <w:rsid w:val="00E17CD4"/>
    <w:rsid w:val="00E17EDC"/>
    <w:rsid w:val="00E20187"/>
    <w:rsid w:val="00E20380"/>
    <w:rsid w:val="00E2038E"/>
    <w:rsid w:val="00E20935"/>
    <w:rsid w:val="00E20A96"/>
    <w:rsid w:val="00E20AA4"/>
    <w:rsid w:val="00E20B52"/>
    <w:rsid w:val="00E20CB6"/>
    <w:rsid w:val="00E2108F"/>
    <w:rsid w:val="00E2165B"/>
    <w:rsid w:val="00E218C0"/>
    <w:rsid w:val="00E219A8"/>
    <w:rsid w:val="00E21AFB"/>
    <w:rsid w:val="00E21BA2"/>
    <w:rsid w:val="00E21C27"/>
    <w:rsid w:val="00E22244"/>
    <w:rsid w:val="00E22345"/>
    <w:rsid w:val="00E229AE"/>
    <w:rsid w:val="00E22DA3"/>
    <w:rsid w:val="00E22DA8"/>
    <w:rsid w:val="00E23087"/>
    <w:rsid w:val="00E232D1"/>
    <w:rsid w:val="00E234BB"/>
    <w:rsid w:val="00E23770"/>
    <w:rsid w:val="00E23827"/>
    <w:rsid w:val="00E2399D"/>
    <w:rsid w:val="00E23D2F"/>
    <w:rsid w:val="00E23F01"/>
    <w:rsid w:val="00E23F47"/>
    <w:rsid w:val="00E23F88"/>
    <w:rsid w:val="00E23FC3"/>
    <w:rsid w:val="00E23FC8"/>
    <w:rsid w:val="00E24386"/>
    <w:rsid w:val="00E24812"/>
    <w:rsid w:val="00E24939"/>
    <w:rsid w:val="00E24B33"/>
    <w:rsid w:val="00E24B97"/>
    <w:rsid w:val="00E24BEC"/>
    <w:rsid w:val="00E24C5E"/>
    <w:rsid w:val="00E24EC4"/>
    <w:rsid w:val="00E2515E"/>
    <w:rsid w:val="00E2538D"/>
    <w:rsid w:val="00E25492"/>
    <w:rsid w:val="00E25D6B"/>
    <w:rsid w:val="00E260AE"/>
    <w:rsid w:val="00E2627D"/>
    <w:rsid w:val="00E262B9"/>
    <w:rsid w:val="00E262E7"/>
    <w:rsid w:val="00E262F6"/>
    <w:rsid w:val="00E264D8"/>
    <w:rsid w:val="00E2657A"/>
    <w:rsid w:val="00E2766E"/>
    <w:rsid w:val="00E277E5"/>
    <w:rsid w:val="00E27820"/>
    <w:rsid w:val="00E3015F"/>
    <w:rsid w:val="00E302A8"/>
    <w:rsid w:val="00E30383"/>
    <w:rsid w:val="00E3054F"/>
    <w:rsid w:val="00E3060A"/>
    <w:rsid w:val="00E309C2"/>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7C1"/>
    <w:rsid w:val="00E32873"/>
    <w:rsid w:val="00E32972"/>
    <w:rsid w:val="00E32A2B"/>
    <w:rsid w:val="00E32BAE"/>
    <w:rsid w:val="00E32DA4"/>
    <w:rsid w:val="00E32E65"/>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3946"/>
    <w:rsid w:val="00E4450C"/>
    <w:rsid w:val="00E4464E"/>
    <w:rsid w:val="00E4475B"/>
    <w:rsid w:val="00E447D9"/>
    <w:rsid w:val="00E4483F"/>
    <w:rsid w:val="00E44D6D"/>
    <w:rsid w:val="00E45504"/>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157"/>
    <w:rsid w:val="00E512CD"/>
    <w:rsid w:val="00E512FA"/>
    <w:rsid w:val="00E5139D"/>
    <w:rsid w:val="00E5148F"/>
    <w:rsid w:val="00E5167B"/>
    <w:rsid w:val="00E51CB7"/>
    <w:rsid w:val="00E51CD4"/>
    <w:rsid w:val="00E51CD8"/>
    <w:rsid w:val="00E51EC3"/>
    <w:rsid w:val="00E51EEE"/>
    <w:rsid w:val="00E5209B"/>
    <w:rsid w:val="00E5222B"/>
    <w:rsid w:val="00E52354"/>
    <w:rsid w:val="00E5236C"/>
    <w:rsid w:val="00E52449"/>
    <w:rsid w:val="00E52707"/>
    <w:rsid w:val="00E52A86"/>
    <w:rsid w:val="00E53462"/>
    <w:rsid w:val="00E534D4"/>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8B6"/>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83F"/>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98D"/>
    <w:rsid w:val="00E77FBE"/>
    <w:rsid w:val="00E80015"/>
    <w:rsid w:val="00E8009B"/>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4C1"/>
    <w:rsid w:val="00E85A9A"/>
    <w:rsid w:val="00E85EAA"/>
    <w:rsid w:val="00E86099"/>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155"/>
    <w:rsid w:val="00E9121C"/>
    <w:rsid w:val="00E912D6"/>
    <w:rsid w:val="00E91A15"/>
    <w:rsid w:val="00E91B83"/>
    <w:rsid w:val="00E91D67"/>
    <w:rsid w:val="00E91D95"/>
    <w:rsid w:val="00E91EF2"/>
    <w:rsid w:val="00E923F6"/>
    <w:rsid w:val="00E924CF"/>
    <w:rsid w:val="00E92AC3"/>
    <w:rsid w:val="00E92AE4"/>
    <w:rsid w:val="00E932AF"/>
    <w:rsid w:val="00E93765"/>
    <w:rsid w:val="00E939FE"/>
    <w:rsid w:val="00E93C27"/>
    <w:rsid w:val="00E9408B"/>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405"/>
    <w:rsid w:val="00E965EE"/>
    <w:rsid w:val="00E96867"/>
    <w:rsid w:val="00E9686D"/>
    <w:rsid w:val="00E96F9C"/>
    <w:rsid w:val="00E97098"/>
    <w:rsid w:val="00E9736D"/>
    <w:rsid w:val="00E9782A"/>
    <w:rsid w:val="00E97A0F"/>
    <w:rsid w:val="00E97B36"/>
    <w:rsid w:val="00E97B9A"/>
    <w:rsid w:val="00E97BAE"/>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C30"/>
    <w:rsid w:val="00EA2F85"/>
    <w:rsid w:val="00EA3110"/>
    <w:rsid w:val="00EA319D"/>
    <w:rsid w:val="00EA3261"/>
    <w:rsid w:val="00EA33A6"/>
    <w:rsid w:val="00EA37D7"/>
    <w:rsid w:val="00EA3E62"/>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620"/>
    <w:rsid w:val="00EA6732"/>
    <w:rsid w:val="00EA680E"/>
    <w:rsid w:val="00EA6D2E"/>
    <w:rsid w:val="00EA6F67"/>
    <w:rsid w:val="00EA6FE7"/>
    <w:rsid w:val="00EA7276"/>
    <w:rsid w:val="00EA73EB"/>
    <w:rsid w:val="00EA76F5"/>
    <w:rsid w:val="00EA77B8"/>
    <w:rsid w:val="00EA7834"/>
    <w:rsid w:val="00EA7D28"/>
    <w:rsid w:val="00EA7E98"/>
    <w:rsid w:val="00EB05A6"/>
    <w:rsid w:val="00EB0896"/>
    <w:rsid w:val="00EB0E79"/>
    <w:rsid w:val="00EB0EB0"/>
    <w:rsid w:val="00EB175A"/>
    <w:rsid w:val="00EB18FC"/>
    <w:rsid w:val="00EB196C"/>
    <w:rsid w:val="00EB1F55"/>
    <w:rsid w:val="00EB204E"/>
    <w:rsid w:val="00EB2376"/>
    <w:rsid w:val="00EB286D"/>
    <w:rsid w:val="00EB2AC0"/>
    <w:rsid w:val="00EB2CD4"/>
    <w:rsid w:val="00EB2E9D"/>
    <w:rsid w:val="00EB2F36"/>
    <w:rsid w:val="00EB311E"/>
    <w:rsid w:val="00EB32E0"/>
    <w:rsid w:val="00EB359A"/>
    <w:rsid w:val="00EB36D1"/>
    <w:rsid w:val="00EB3745"/>
    <w:rsid w:val="00EB3B12"/>
    <w:rsid w:val="00EB3CD5"/>
    <w:rsid w:val="00EB3D8D"/>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62C"/>
    <w:rsid w:val="00EB5C95"/>
    <w:rsid w:val="00EB5F3F"/>
    <w:rsid w:val="00EB5FCF"/>
    <w:rsid w:val="00EB6411"/>
    <w:rsid w:val="00EB6554"/>
    <w:rsid w:val="00EB6830"/>
    <w:rsid w:val="00EB6935"/>
    <w:rsid w:val="00EB6A9C"/>
    <w:rsid w:val="00EB6ABA"/>
    <w:rsid w:val="00EB6AEC"/>
    <w:rsid w:val="00EB6D42"/>
    <w:rsid w:val="00EB6E88"/>
    <w:rsid w:val="00EB6F49"/>
    <w:rsid w:val="00EB7134"/>
    <w:rsid w:val="00EB7192"/>
    <w:rsid w:val="00EB7198"/>
    <w:rsid w:val="00EB71B9"/>
    <w:rsid w:val="00EB7317"/>
    <w:rsid w:val="00EB7848"/>
    <w:rsid w:val="00EB78CB"/>
    <w:rsid w:val="00EB79B8"/>
    <w:rsid w:val="00EB7B90"/>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04F"/>
    <w:rsid w:val="00ED0140"/>
    <w:rsid w:val="00ED0450"/>
    <w:rsid w:val="00ED080C"/>
    <w:rsid w:val="00ED0A32"/>
    <w:rsid w:val="00ED0A45"/>
    <w:rsid w:val="00ED0C86"/>
    <w:rsid w:val="00ED1047"/>
    <w:rsid w:val="00ED1298"/>
    <w:rsid w:val="00ED13E9"/>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6DEC"/>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DAB"/>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2EA"/>
    <w:rsid w:val="00EE73B0"/>
    <w:rsid w:val="00EE73C6"/>
    <w:rsid w:val="00EE7476"/>
    <w:rsid w:val="00EE76BE"/>
    <w:rsid w:val="00EE7707"/>
    <w:rsid w:val="00EE791C"/>
    <w:rsid w:val="00EE7A57"/>
    <w:rsid w:val="00EE7A84"/>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1F8B"/>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6FA3"/>
    <w:rsid w:val="00EF78F8"/>
    <w:rsid w:val="00EF7BD2"/>
    <w:rsid w:val="00EF7E8B"/>
    <w:rsid w:val="00F0044E"/>
    <w:rsid w:val="00F005C6"/>
    <w:rsid w:val="00F006B0"/>
    <w:rsid w:val="00F0088F"/>
    <w:rsid w:val="00F0095A"/>
    <w:rsid w:val="00F0096D"/>
    <w:rsid w:val="00F00CC2"/>
    <w:rsid w:val="00F00CC3"/>
    <w:rsid w:val="00F012AA"/>
    <w:rsid w:val="00F012FE"/>
    <w:rsid w:val="00F0149E"/>
    <w:rsid w:val="00F01565"/>
    <w:rsid w:val="00F01633"/>
    <w:rsid w:val="00F017C5"/>
    <w:rsid w:val="00F01AB5"/>
    <w:rsid w:val="00F01F30"/>
    <w:rsid w:val="00F01FC3"/>
    <w:rsid w:val="00F02183"/>
    <w:rsid w:val="00F02949"/>
    <w:rsid w:val="00F0294A"/>
    <w:rsid w:val="00F03062"/>
    <w:rsid w:val="00F0311B"/>
    <w:rsid w:val="00F033CA"/>
    <w:rsid w:val="00F03513"/>
    <w:rsid w:val="00F0369D"/>
    <w:rsid w:val="00F0377C"/>
    <w:rsid w:val="00F03A9B"/>
    <w:rsid w:val="00F03B46"/>
    <w:rsid w:val="00F03BEF"/>
    <w:rsid w:val="00F03DC7"/>
    <w:rsid w:val="00F04287"/>
    <w:rsid w:val="00F04609"/>
    <w:rsid w:val="00F0473F"/>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CCB"/>
    <w:rsid w:val="00F20DCE"/>
    <w:rsid w:val="00F20E20"/>
    <w:rsid w:val="00F20E91"/>
    <w:rsid w:val="00F20F8F"/>
    <w:rsid w:val="00F210CD"/>
    <w:rsid w:val="00F21164"/>
    <w:rsid w:val="00F2129D"/>
    <w:rsid w:val="00F215AD"/>
    <w:rsid w:val="00F21A35"/>
    <w:rsid w:val="00F21F86"/>
    <w:rsid w:val="00F21FD0"/>
    <w:rsid w:val="00F22083"/>
    <w:rsid w:val="00F223FC"/>
    <w:rsid w:val="00F224B1"/>
    <w:rsid w:val="00F224BA"/>
    <w:rsid w:val="00F228FB"/>
    <w:rsid w:val="00F22A56"/>
    <w:rsid w:val="00F22CAD"/>
    <w:rsid w:val="00F22E51"/>
    <w:rsid w:val="00F2327A"/>
    <w:rsid w:val="00F2343B"/>
    <w:rsid w:val="00F234A6"/>
    <w:rsid w:val="00F23634"/>
    <w:rsid w:val="00F23686"/>
    <w:rsid w:val="00F23B3C"/>
    <w:rsid w:val="00F23B84"/>
    <w:rsid w:val="00F23C25"/>
    <w:rsid w:val="00F23C69"/>
    <w:rsid w:val="00F23E11"/>
    <w:rsid w:val="00F23EED"/>
    <w:rsid w:val="00F24101"/>
    <w:rsid w:val="00F241FF"/>
    <w:rsid w:val="00F245CC"/>
    <w:rsid w:val="00F24870"/>
    <w:rsid w:val="00F248FC"/>
    <w:rsid w:val="00F24904"/>
    <w:rsid w:val="00F249C5"/>
    <w:rsid w:val="00F24C76"/>
    <w:rsid w:val="00F24D98"/>
    <w:rsid w:val="00F25257"/>
    <w:rsid w:val="00F252C1"/>
    <w:rsid w:val="00F258E2"/>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B17"/>
    <w:rsid w:val="00F31C12"/>
    <w:rsid w:val="00F31C57"/>
    <w:rsid w:val="00F31E6F"/>
    <w:rsid w:val="00F3221A"/>
    <w:rsid w:val="00F32479"/>
    <w:rsid w:val="00F326C2"/>
    <w:rsid w:val="00F3276D"/>
    <w:rsid w:val="00F327CE"/>
    <w:rsid w:val="00F328E2"/>
    <w:rsid w:val="00F3298F"/>
    <w:rsid w:val="00F32DAA"/>
    <w:rsid w:val="00F32DD4"/>
    <w:rsid w:val="00F33167"/>
    <w:rsid w:val="00F331DD"/>
    <w:rsid w:val="00F3323E"/>
    <w:rsid w:val="00F332CA"/>
    <w:rsid w:val="00F33488"/>
    <w:rsid w:val="00F337D3"/>
    <w:rsid w:val="00F338DF"/>
    <w:rsid w:val="00F33C64"/>
    <w:rsid w:val="00F33E3D"/>
    <w:rsid w:val="00F3405B"/>
    <w:rsid w:val="00F34372"/>
    <w:rsid w:val="00F34D39"/>
    <w:rsid w:val="00F34DEC"/>
    <w:rsid w:val="00F35241"/>
    <w:rsid w:val="00F35421"/>
    <w:rsid w:val="00F35473"/>
    <w:rsid w:val="00F35513"/>
    <w:rsid w:val="00F355EF"/>
    <w:rsid w:val="00F359F4"/>
    <w:rsid w:val="00F35BEF"/>
    <w:rsid w:val="00F35E10"/>
    <w:rsid w:val="00F35E96"/>
    <w:rsid w:val="00F36456"/>
    <w:rsid w:val="00F364E7"/>
    <w:rsid w:val="00F36593"/>
    <w:rsid w:val="00F367AB"/>
    <w:rsid w:val="00F36AE7"/>
    <w:rsid w:val="00F36D9F"/>
    <w:rsid w:val="00F36EB9"/>
    <w:rsid w:val="00F377C5"/>
    <w:rsid w:val="00F37811"/>
    <w:rsid w:val="00F400BB"/>
    <w:rsid w:val="00F400DD"/>
    <w:rsid w:val="00F402A4"/>
    <w:rsid w:val="00F402BB"/>
    <w:rsid w:val="00F40327"/>
    <w:rsid w:val="00F4069B"/>
    <w:rsid w:val="00F40728"/>
    <w:rsid w:val="00F408A7"/>
    <w:rsid w:val="00F40998"/>
    <w:rsid w:val="00F40AAD"/>
    <w:rsid w:val="00F40AB2"/>
    <w:rsid w:val="00F40B69"/>
    <w:rsid w:val="00F40CEB"/>
    <w:rsid w:val="00F40CF2"/>
    <w:rsid w:val="00F40F38"/>
    <w:rsid w:val="00F40FB4"/>
    <w:rsid w:val="00F41247"/>
    <w:rsid w:val="00F4132B"/>
    <w:rsid w:val="00F414AE"/>
    <w:rsid w:val="00F416A6"/>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049"/>
    <w:rsid w:val="00F4433B"/>
    <w:rsid w:val="00F44844"/>
    <w:rsid w:val="00F449B9"/>
    <w:rsid w:val="00F44AE7"/>
    <w:rsid w:val="00F44CF4"/>
    <w:rsid w:val="00F44ECA"/>
    <w:rsid w:val="00F44FBE"/>
    <w:rsid w:val="00F45185"/>
    <w:rsid w:val="00F451F3"/>
    <w:rsid w:val="00F45224"/>
    <w:rsid w:val="00F45599"/>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13B"/>
    <w:rsid w:val="00F51393"/>
    <w:rsid w:val="00F51621"/>
    <w:rsid w:val="00F51742"/>
    <w:rsid w:val="00F51BCE"/>
    <w:rsid w:val="00F51BF4"/>
    <w:rsid w:val="00F51E85"/>
    <w:rsid w:val="00F521AF"/>
    <w:rsid w:val="00F52407"/>
    <w:rsid w:val="00F527DD"/>
    <w:rsid w:val="00F52B51"/>
    <w:rsid w:val="00F52CC9"/>
    <w:rsid w:val="00F52DD3"/>
    <w:rsid w:val="00F52E24"/>
    <w:rsid w:val="00F52F1A"/>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0F0"/>
    <w:rsid w:val="00F551D4"/>
    <w:rsid w:val="00F555AE"/>
    <w:rsid w:val="00F55CD0"/>
    <w:rsid w:val="00F55CEE"/>
    <w:rsid w:val="00F55D1A"/>
    <w:rsid w:val="00F55F1B"/>
    <w:rsid w:val="00F56025"/>
    <w:rsid w:val="00F5605B"/>
    <w:rsid w:val="00F5637C"/>
    <w:rsid w:val="00F565F4"/>
    <w:rsid w:val="00F5698F"/>
    <w:rsid w:val="00F57882"/>
    <w:rsid w:val="00F5788B"/>
    <w:rsid w:val="00F57906"/>
    <w:rsid w:val="00F5797A"/>
    <w:rsid w:val="00F579BD"/>
    <w:rsid w:val="00F57B99"/>
    <w:rsid w:val="00F57FAC"/>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220"/>
    <w:rsid w:val="00F625CD"/>
    <w:rsid w:val="00F625EB"/>
    <w:rsid w:val="00F6288A"/>
    <w:rsid w:val="00F6296B"/>
    <w:rsid w:val="00F62E86"/>
    <w:rsid w:val="00F63205"/>
    <w:rsid w:val="00F632A8"/>
    <w:rsid w:val="00F633D3"/>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84E"/>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654"/>
    <w:rsid w:val="00F73902"/>
    <w:rsid w:val="00F73B5F"/>
    <w:rsid w:val="00F73C1C"/>
    <w:rsid w:val="00F73F2D"/>
    <w:rsid w:val="00F73FAF"/>
    <w:rsid w:val="00F7477A"/>
    <w:rsid w:val="00F747D6"/>
    <w:rsid w:val="00F74877"/>
    <w:rsid w:val="00F748E8"/>
    <w:rsid w:val="00F74A23"/>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70A"/>
    <w:rsid w:val="00F779F4"/>
    <w:rsid w:val="00F77A41"/>
    <w:rsid w:val="00F77A95"/>
    <w:rsid w:val="00F77C8A"/>
    <w:rsid w:val="00F77D90"/>
    <w:rsid w:val="00F77FF7"/>
    <w:rsid w:val="00F8022F"/>
    <w:rsid w:val="00F80535"/>
    <w:rsid w:val="00F80876"/>
    <w:rsid w:val="00F8091C"/>
    <w:rsid w:val="00F80F84"/>
    <w:rsid w:val="00F81103"/>
    <w:rsid w:val="00F81140"/>
    <w:rsid w:val="00F81478"/>
    <w:rsid w:val="00F814BF"/>
    <w:rsid w:val="00F81BE4"/>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5F20"/>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D8D"/>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D1A"/>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1AB"/>
    <w:rsid w:val="00FA168C"/>
    <w:rsid w:val="00FA1D4F"/>
    <w:rsid w:val="00FA2458"/>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6026"/>
    <w:rsid w:val="00FA6354"/>
    <w:rsid w:val="00FA6679"/>
    <w:rsid w:val="00FA6734"/>
    <w:rsid w:val="00FA6B0D"/>
    <w:rsid w:val="00FA6BB1"/>
    <w:rsid w:val="00FA6C85"/>
    <w:rsid w:val="00FA6E14"/>
    <w:rsid w:val="00FA6F35"/>
    <w:rsid w:val="00FA7008"/>
    <w:rsid w:val="00FA7220"/>
    <w:rsid w:val="00FA7357"/>
    <w:rsid w:val="00FA739C"/>
    <w:rsid w:val="00FA7463"/>
    <w:rsid w:val="00FA7BB4"/>
    <w:rsid w:val="00FA7C68"/>
    <w:rsid w:val="00FA7CC5"/>
    <w:rsid w:val="00FA7CD2"/>
    <w:rsid w:val="00FA7DE8"/>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DBA"/>
    <w:rsid w:val="00FB1F57"/>
    <w:rsid w:val="00FB20D1"/>
    <w:rsid w:val="00FB210A"/>
    <w:rsid w:val="00FB213E"/>
    <w:rsid w:val="00FB2272"/>
    <w:rsid w:val="00FB26AF"/>
    <w:rsid w:val="00FB278F"/>
    <w:rsid w:val="00FB2AD5"/>
    <w:rsid w:val="00FB2C27"/>
    <w:rsid w:val="00FB2C62"/>
    <w:rsid w:val="00FB2D66"/>
    <w:rsid w:val="00FB2E56"/>
    <w:rsid w:val="00FB322F"/>
    <w:rsid w:val="00FB3627"/>
    <w:rsid w:val="00FB36C0"/>
    <w:rsid w:val="00FB3AD2"/>
    <w:rsid w:val="00FB3D34"/>
    <w:rsid w:val="00FB4067"/>
    <w:rsid w:val="00FB444C"/>
    <w:rsid w:val="00FB4497"/>
    <w:rsid w:val="00FB48BC"/>
    <w:rsid w:val="00FB49AB"/>
    <w:rsid w:val="00FB5116"/>
    <w:rsid w:val="00FB5180"/>
    <w:rsid w:val="00FB530A"/>
    <w:rsid w:val="00FB53C8"/>
    <w:rsid w:val="00FB53D1"/>
    <w:rsid w:val="00FB552C"/>
    <w:rsid w:val="00FB55F9"/>
    <w:rsid w:val="00FB59AB"/>
    <w:rsid w:val="00FB5D05"/>
    <w:rsid w:val="00FB6116"/>
    <w:rsid w:val="00FB64C5"/>
    <w:rsid w:val="00FB65B8"/>
    <w:rsid w:val="00FB6909"/>
    <w:rsid w:val="00FB6A17"/>
    <w:rsid w:val="00FB6C71"/>
    <w:rsid w:val="00FB6EF3"/>
    <w:rsid w:val="00FB6EF8"/>
    <w:rsid w:val="00FB6F6B"/>
    <w:rsid w:val="00FB6FA1"/>
    <w:rsid w:val="00FB7564"/>
    <w:rsid w:val="00FB78CE"/>
    <w:rsid w:val="00FB78EC"/>
    <w:rsid w:val="00FB793F"/>
    <w:rsid w:val="00FB7A65"/>
    <w:rsid w:val="00FB7B20"/>
    <w:rsid w:val="00FB7C61"/>
    <w:rsid w:val="00FB7D5A"/>
    <w:rsid w:val="00FB7DFC"/>
    <w:rsid w:val="00FB7F93"/>
    <w:rsid w:val="00FC0554"/>
    <w:rsid w:val="00FC069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330E"/>
    <w:rsid w:val="00FC354F"/>
    <w:rsid w:val="00FC3631"/>
    <w:rsid w:val="00FC39A4"/>
    <w:rsid w:val="00FC39E4"/>
    <w:rsid w:val="00FC4462"/>
    <w:rsid w:val="00FC4BFC"/>
    <w:rsid w:val="00FC4C65"/>
    <w:rsid w:val="00FC4DD3"/>
    <w:rsid w:val="00FC4EE3"/>
    <w:rsid w:val="00FC4F58"/>
    <w:rsid w:val="00FC4FE2"/>
    <w:rsid w:val="00FC52D4"/>
    <w:rsid w:val="00FC586C"/>
    <w:rsid w:val="00FC5B62"/>
    <w:rsid w:val="00FC67BF"/>
    <w:rsid w:val="00FC6837"/>
    <w:rsid w:val="00FC6A5C"/>
    <w:rsid w:val="00FC6F7B"/>
    <w:rsid w:val="00FC74CC"/>
    <w:rsid w:val="00FC78B2"/>
    <w:rsid w:val="00FC7906"/>
    <w:rsid w:val="00FC7959"/>
    <w:rsid w:val="00FC7982"/>
    <w:rsid w:val="00FC7AA0"/>
    <w:rsid w:val="00FD00C2"/>
    <w:rsid w:val="00FD01E1"/>
    <w:rsid w:val="00FD0219"/>
    <w:rsid w:val="00FD045C"/>
    <w:rsid w:val="00FD0DF5"/>
    <w:rsid w:val="00FD0E8D"/>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9C6"/>
    <w:rsid w:val="00FD49D3"/>
    <w:rsid w:val="00FD4BB3"/>
    <w:rsid w:val="00FD4EF4"/>
    <w:rsid w:val="00FD52ED"/>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89E"/>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2F3"/>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9A0"/>
    <w:rsid w:val="00FF2A45"/>
    <w:rsid w:val="00FF2EB9"/>
    <w:rsid w:val="00FF303B"/>
    <w:rsid w:val="00FF31E4"/>
    <w:rsid w:val="00FF34DD"/>
    <w:rsid w:val="00FF38BF"/>
    <w:rsid w:val="00FF3A48"/>
    <w:rsid w:val="00FF4208"/>
    <w:rsid w:val="00FF44EA"/>
    <w:rsid w:val="00FF46E1"/>
    <w:rsid w:val="00FF5216"/>
    <w:rsid w:val="00FF5520"/>
    <w:rsid w:val="00FF554A"/>
    <w:rsid w:val="00FF59ED"/>
    <w:rsid w:val="00FF5B38"/>
    <w:rsid w:val="00FF62A7"/>
    <w:rsid w:val="00FF6784"/>
    <w:rsid w:val="00FF678F"/>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05CD"/>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2142C"/>
    <w:rsid w:val="0184163D"/>
    <w:rsid w:val="018446AC"/>
    <w:rsid w:val="018F7662"/>
    <w:rsid w:val="01900C09"/>
    <w:rsid w:val="01942B77"/>
    <w:rsid w:val="019B60BC"/>
    <w:rsid w:val="019D62DE"/>
    <w:rsid w:val="019F2AB2"/>
    <w:rsid w:val="01A17E36"/>
    <w:rsid w:val="01A761C0"/>
    <w:rsid w:val="01A96AA0"/>
    <w:rsid w:val="01AA0986"/>
    <w:rsid w:val="01B749D8"/>
    <w:rsid w:val="01B91B37"/>
    <w:rsid w:val="01BB1E71"/>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3231C"/>
    <w:rsid w:val="01E46767"/>
    <w:rsid w:val="01E7337E"/>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2F071D"/>
    <w:rsid w:val="02324760"/>
    <w:rsid w:val="02355D01"/>
    <w:rsid w:val="023A12BC"/>
    <w:rsid w:val="023A7E40"/>
    <w:rsid w:val="023B1EEB"/>
    <w:rsid w:val="023B28B4"/>
    <w:rsid w:val="023D69A0"/>
    <w:rsid w:val="023F46B5"/>
    <w:rsid w:val="02410A4C"/>
    <w:rsid w:val="024518A8"/>
    <w:rsid w:val="0246028C"/>
    <w:rsid w:val="024B3DD6"/>
    <w:rsid w:val="024D3362"/>
    <w:rsid w:val="02525FDE"/>
    <w:rsid w:val="02541C6A"/>
    <w:rsid w:val="025570C2"/>
    <w:rsid w:val="02566964"/>
    <w:rsid w:val="02572AC2"/>
    <w:rsid w:val="0258068C"/>
    <w:rsid w:val="025F6C83"/>
    <w:rsid w:val="0266047F"/>
    <w:rsid w:val="026B4AEA"/>
    <w:rsid w:val="026B7DDD"/>
    <w:rsid w:val="026D04CC"/>
    <w:rsid w:val="026F3AA2"/>
    <w:rsid w:val="02746FAE"/>
    <w:rsid w:val="0278020E"/>
    <w:rsid w:val="0278630D"/>
    <w:rsid w:val="027B658C"/>
    <w:rsid w:val="027E61C3"/>
    <w:rsid w:val="027F3306"/>
    <w:rsid w:val="02816D9C"/>
    <w:rsid w:val="02831C33"/>
    <w:rsid w:val="02875AD4"/>
    <w:rsid w:val="028E5CAB"/>
    <w:rsid w:val="028F4EA5"/>
    <w:rsid w:val="029002E5"/>
    <w:rsid w:val="02975D53"/>
    <w:rsid w:val="029C4A47"/>
    <w:rsid w:val="029F4866"/>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30A77"/>
    <w:rsid w:val="0326186D"/>
    <w:rsid w:val="03261A38"/>
    <w:rsid w:val="03273DA2"/>
    <w:rsid w:val="03286A99"/>
    <w:rsid w:val="032A509F"/>
    <w:rsid w:val="03334938"/>
    <w:rsid w:val="0333596C"/>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621D6"/>
    <w:rsid w:val="035936E8"/>
    <w:rsid w:val="035A6727"/>
    <w:rsid w:val="035F2C63"/>
    <w:rsid w:val="0360437B"/>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2258B"/>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81433"/>
    <w:rsid w:val="041A619B"/>
    <w:rsid w:val="041F7456"/>
    <w:rsid w:val="04215E85"/>
    <w:rsid w:val="04221D1F"/>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94B8D"/>
    <w:rsid w:val="045A45AE"/>
    <w:rsid w:val="045B002B"/>
    <w:rsid w:val="045C42BD"/>
    <w:rsid w:val="045C6B01"/>
    <w:rsid w:val="04616CCB"/>
    <w:rsid w:val="046B7F0E"/>
    <w:rsid w:val="046D380D"/>
    <w:rsid w:val="046F363B"/>
    <w:rsid w:val="0470177E"/>
    <w:rsid w:val="047630EA"/>
    <w:rsid w:val="047716A9"/>
    <w:rsid w:val="04792D6D"/>
    <w:rsid w:val="047A5CC3"/>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535C1"/>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7019A"/>
    <w:rsid w:val="04DE64A7"/>
    <w:rsid w:val="04DF1F7C"/>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511679"/>
    <w:rsid w:val="05516AAD"/>
    <w:rsid w:val="05520B1B"/>
    <w:rsid w:val="0554794C"/>
    <w:rsid w:val="05553DD0"/>
    <w:rsid w:val="05554DD8"/>
    <w:rsid w:val="05572874"/>
    <w:rsid w:val="05580B32"/>
    <w:rsid w:val="05583F7B"/>
    <w:rsid w:val="055B0206"/>
    <w:rsid w:val="0561255E"/>
    <w:rsid w:val="05653A02"/>
    <w:rsid w:val="05683D1A"/>
    <w:rsid w:val="05684E01"/>
    <w:rsid w:val="056B7F67"/>
    <w:rsid w:val="05700CFA"/>
    <w:rsid w:val="05713D4A"/>
    <w:rsid w:val="057343F2"/>
    <w:rsid w:val="057556DA"/>
    <w:rsid w:val="05763EF9"/>
    <w:rsid w:val="057918B2"/>
    <w:rsid w:val="05791F63"/>
    <w:rsid w:val="0579226F"/>
    <w:rsid w:val="05795269"/>
    <w:rsid w:val="057B1931"/>
    <w:rsid w:val="057E0FD7"/>
    <w:rsid w:val="057F4A54"/>
    <w:rsid w:val="058236CD"/>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138FE"/>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94B98"/>
    <w:rsid w:val="06512DD0"/>
    <w:rsid w:val="06520157"/>
    <w:rsid w:val="06556880"/>
    <w:rsid w:val="06594ACC"/>
    <w:rsid w:val="065E23F5"/>
    <w:rsid w:val="065F0CB5"/>
    <w:rsid w:val="0661605C"/>
    <w:rsid w:val="066625CB"/>
    <w:rsid w:val="06662E0F"/>
    <w:rsid w:val="06671A53"/>
    <w:rsid w:val="06673295"/>
    <w:rsid w:val="0668138B"/>
    <w:rsid w:val="06686D4D"/>
    <w:rsid w:val="067458C8"/>
    <w:rsid w:val="06761D10"/>
    <w:rsid w:val="06787FB1"/>
    <w:rsid w:val="0679679D"/>
    <w:rsid w:val="067C70F8"/>
    <w:rsid w:val="067E02A9"/>
    <w:rsid w:val="067E49F6"/>
    <w:rsid w:val="067F3FA8"/>
    <w:rsid w:val="068F2552"/>
    <w:rsid w:val="069142D7"/>
    <w:rsid w:val="069154D1"/>
    <w:rsid w:val="069202AE"/>
    <w:rsid w:val="06973A22"/>
    <w:rsid w:val="069A134E"/>
    <w:rsid w:val="069B73E9"/>
    <w:rsid w:val="069D55D6"/>
    <w:rsid w:val="069F0AF6"/>
    <w:rsid w:val="069F7B0E"/>
    <w:rsid w:val="06A12BB8"/>
    <w:rsid w:val="06A354BF"/>
    <w:rsid w:val="06A52641"/>
    <w:rsid w:val="06A56623"/>
    <w:rsid w:val="06A6028D"/>
    <w:rsid w:val="06A67127"/>
    <w:rsid w:val="06A6721A"/>
    <w:rsid w:val="06A903D1"/>
    <w:rsid w:val="06AB7BCF"/>
    <w:rsid w:val="06AC48B7"/>
    <w:rsid w:val="06AF2646"/>
    <w:rsid w:val="06B277C2"/>
    <w:rsid w:val="06B36660"/>
    <w:rsid w:val="06B36F46"/>
    <w:rsid w:val="06B827CC"/>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8549F"/>
    <w:rsid w:val="06FA4F05"/>
    <w:rsid w:val="06FC1F4A"/>
    <w:rsid w:val="07052B96"/>
    <w:rsid w:val="070906C4"/>
    <w:rsid w:val="0709430B"/>
    <w:rsid w:val="070D75F4"/>
    <w:rsid w:val="070E174D"/>
    <w:rsid w:val="07114B7A"/>
    <w:rsid w:val="071560AD"/>
    <w:rsid w:val="07170508"/>
    <w:rsid w:val="07172033"/>
    <w:rsid w:val="071809C8"/>
    <w:rsid w:val="0718126C"/>
    <w:rsid w:val="07186D56"/>
    <w:rsid w:val="071A2DAB"/>
    <w:rsid w:val="071C5C7C"/>
    <w:rsid w:val="0721733B"/>
    <w:rsid w:val="07234A6A"/>
    <w:rsid w:val="0724556B"/>
    <w:rsid w:val="07251E9C"/>
    <w:rsid w:val="07261619"/>
    <w:rsid w:val="0726212A"/>
    <w:rsid w:val="072B2FCC"/>
    <w:rsid w:val="072D1D94"/>
    <w:rsid w:val="07315E87"/>
    <w:rsid w:val="073163EC"/>
    <w:rsid w:val="07370C7A"/>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1135A"/>
    <w:rsid w:val="07853698"/>
    <w:rsid w:val="07963CE1"/>
    <w:rsid w:val="07996370"/>
    <w:rsid w:val="079B1264"/>
    <w:rsid w:val="079D08EF"/>
    <w:rsid w:val="07A23DBE"/>
    <w:rsid w:val="07A33C2D"/>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87DCC"/>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D207A"/>
    <w:rsid w:val="07EF7092"/>
    <w:rsid w:val="07F0212E"/>
    <w:rsid w:val="07F06E95"/>
    <w:rsid w:val="07F51633"/>
    <w:rsid w:val="07F62E9A"/>
    <w:rsid w:val="07FD0078"/>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D6B8B"/>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337FA"/>
    <w:rsid w:val="089557FC"/>
    <w:rsid w:val="08980BAB"/>
    <w:rsid w:val="089E1341"/>
    <w:rsid w:val="089E33C1"/>
    <w:rsid w:val="08A352D2"/>
    <w:rsid w:val="08A44F08"/>
    <w:rsid w:val="08A5384E"/>
    <w:rsid w:val="08A54FD5"/>
    <w:rsid w:val="08AA5BF5"/>
    <w:rsid w:val="08AB6F81"/>
    <w:rsid w:val="08B14555"/>
    <w:rsid w:val="08B97EF6"/>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E691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23260"/>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92D1B"/>
    <w:rsid w:val="0A1C0589"/>
    <w:rsid w:val="0A265C5E"/>
    <w:rsid w:val="0A2866F7"/>
    <w:rsid w:val="0A2D6676"/>
    <w:rsid w:val="0A302E0F"/>
    <w:rsid w:val="0A346F85"/>
    <w:rsid w:val="0A3955E8"/>
    <w:rsid w:val="0A3A062B"/>
    <w:rsid w:val="0A3F2D2D"/>
    <w:rsid w:val="0A435870"/>
    <w:rsid w:val="0A450D5B"/>
    <w:rsid w:val="0A47596A"/>
    <w:rsid w:val="0A4836E0"/>
    <w:rsid w:val="0A4D4B1E"/>
    <w:rsid w:val="0A4F006D"/>
    <w:rsid w:val="0A53760D"/>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E1755"/>
    <w:rsid w:val="0B0F2142"/>
    <w:rsid w:val="0B122F8F"/>
    <w:rsid w:val="0B131432"/>
    <w:rsid w:val="0B136A43"/>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1B4E"/>
    <w:rsid w:val="0B5D3445"/>
    <w:rsid w:val="0B61477B"/>
    <w:rsid w:val="0B645FBC"/>
    <w:rsid w:val="0B65171B"/>
    <w:rsid w:val="0B660644"/>
    <w:rsid w:val="0B6B272A"/>
    <w:rsid w:val="0B6D1F77"/>
    <w:rsid w:val="0B723D3E"/>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11E0"/>
    <w:rsid w:val="0BAE4207"/>
    <w:rsid w:val="0BAF3611"/>
    <w:rsid w:val="0BB75CA8"/>
    <w:rsid w:val="0BB95B1E"/>
    <w:rsid w:val="0BBA5AE1"/>
    <w:rsid w:val="0BBC6C1A"/>
    <w:rsid w:val="0BC13B56"/>
    <w:rsid w:val="0BC20CC4"/>
    <w:rsid w:val="0BC26E21"/>
    <w:rsid w:val="0BC65A3D"/>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1391B"/>
    <w:rsid w:val="0C032B60"/>
    <w:rsid w:val="0C055D2C"/>
    <w:rsid w:val="0C094292"/>
    <w:rsid w:val="0C0B43A5"/>
    <w:rsid w:val="0C0D45C7"/>
    <w:rsid w:val="0C0D54D5"/>
    <w:rsid w:val="0C1232A8"/>
    <w:rsid w:val="0C137BF8"/>
    <w:rsid w:val="0C1B0491"/>
    <w:rsid w:val="0C1B4521"/>
    <w:rsid w:val="0C2343CE"/>
    <w:rsid w:val="0C287ECF"/>
    <w:rsid w:val="0C293F71"/>
    <w:rsid w:val="0C2C20F7"/>
    <w:rsid w:val="0C2D2FE4"/>
    <w:rsid w:val="0C2E6FB6"/>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D627B"/>
    <w:rsid w:val="0CEE17F8"/>
    <w:rsid w:val="0D000B8E"/>
    <w:rsid w:val="0D0119A7"/>
    <w:rsid w:val="0D01460F"/>
    <w:rsid w:val="0D02682F"/>
    <w:rsid w:val="0D0350C9"/>
    <w:rsid w:val="0D057756"/>
    <w:rsid w:val="0D072C50"/>
    <w:rsid w:val="0D0A3F56"/>
    <w:rsid w:val="0D0C1984"/>
    <w:rsid w:val="0D0C384C"/>
    <w:rsid w:val="0D0C4871"/>
    <w:rsid w:val="0D0F458A"/>
    <w:rsid w:val="0D1757D9"/>
    <w:rsid w:val="0D1969DD"/>
    <w:rsid w:val="0D1C4C53"/>
    <w:rsid w:val="0D1D4C1E"/>
    <w:rsid w:val="0D2132AA"/>
    <w:rsid w:val="0D2228AD"/>
    <w:rsid w:val="0D224967"/>
    <w:rsid w:val="0D225593"/>
    <w:rsid w:val="0D242655"/>
    <w:rsid w:val="0D2475E0"/>
    <w:rsid w:val="0D255EB8"/>
    <w:rsid w:val="0D297DF3"/>
    <w:rsid w:val="0D2B3E52"/>
    <w:rsid w:val="0D2C6BEA"/>
    <w:rsid w:val="0D361C4E"/>
    <w:rsid w:val="0D385411"/>
    <w:rsid w:val="0D3A2D89"/>
    <w:rsid w:val="0D3D47F7"/>
    <w:rsid w:val="0D404AFF"/>
    <w:rsid w:val="0D406E69"/>
    <w:rsid w:val="0D455C6C"/>
    <w:rsid w:val="0D483CBE"/>
    <w:rsid w:val="0D4B0120"/>
    <w:rsid w:val="0D4C2168"/>
    <w:rsid w:val="0D5235A5"/>
    <w:rsid w:val="0D5958B3"/>
    <w:rsid w:val="0D5B27B9"/>
    <w:rsid w:val="0D5D1B45"/>
    <w:rsid w:val="0D5D6F30"/>
    <w:rsid w:val="0D617B23"/>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95EED"/>
    <w:rsid w:val="0D9E5F19"/>
    <w:rsid w:val="0DA21DB4"/>
    <w:rsid w:val="0DAD1E24"/>
    <w:rsid w:val="0DAE5B0E"/>
    <w:rsid w:val="0DB05826"/>
    <w:rsid w:val="0DB14B01"/>
    <w:rsid w:val="0DB32D06"/>
    <w:rsid w:val="0DB42335"/>
    <w:rsid w:val="0DB46ABF"/>
    <w:rsid w:val="0DB66B64"/>
    <w:rsid w:val="0DB852CD"/>
    <w:rsid w:val="0DB871F4"/>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2250"/>
    <w:rsid w:val="0E83344B"/>
    <w:rsid w:val="0E884BDA"/>
    <w:rsid w:val="0E915F8A"/>
    <w:rsid w:val="0E954083"/>
    <w:rsid w:val="0E961603"/>
    <w:rsid w:val="0E983633"/>
    <w:rsid w:val="0EA27901"/>
    <w:rsid w:val="0EAA73B4"/>
    <w:rsid w:val="0EB043E6"/>
    <w:rsid w:val="0EB0495D"/>
    <w:rsid w:val="0EB21A5E"/>
    <w:rsid w:val="0EB255FF"/>
    <w:rsid w:val="0EB66E2D"/>
    <w:rsid w:val="0EB71E64"/>
    <w:rsid w:val="0EB73A87"/>
    <w:rsid w:val="0EB96A82"/>
    <w:rsid w:val="0EBC12A1"/>
    <w:rsid w:val="0EBC2A36"/>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ED3C98"/>
    <w:rsid w:val="0EF35CBD"/>
    <w:rsid w:val="0EFA4C30"/>
    <w:rsid w:val="0EFD2CC2"/>
    <w:rsid w:val="0EFF0213"/>
    <w:rsid w:val="0F001CA9"/>
    <w:rsid w:val="0F006E4B"/>
    <w:rsid w:val="0F030406"/>
    <w:rsid w:val="0F0330C2"/>
    <w:rsid w:val="0F0555EE"/>
    <w:rsid w:val="0F074E25"/>
    <w:rsid w:val="0F0A399D"/>
    <w:rsid w:val="0F0B1157"/>
    <w:rsid w:val="0F124DFB"/>
    <w:rsid w:val="0F2566D6"/>
    <w:rsid w:val="0F283ECA"/>
    <w:rsid w:val="0F297188"/>
    <w:rsid w:val="0F334F38"/>
    <w:rsid w:val="0F375FA0"/>
    <w:rsid w:val="0F3823EB"/>
    <w:rsid w:val="0F390E3D"/>
    <w:rsid w:val="0F3922C0"/>
    <w:rsid w:val="0F3B0B76"/>
    <w:rsid w:val="0F3B729A"/>
    <w:rsid w:val="0F3C4735"/>
    <w:rsid w:val="0F3D04E9"/>
    <w:rsid w:val="0F440231"/>
    <w:rsid w:val="0F477871"/>
    <w:rsid w:val="0F477973"/>
    <w:rsid w:val="0F4B3454"/>
    <w:rsid w:val="0F4D12BD"/>
    <w:rsid w:val="0F5113C9"/>
    <w:rsid w:val="0F521E2E"/>
    <w:rsid w:val="0F527028"/>
    <w:rsid w:val="0F5313BA"/>
    <w:rsid w:val="0F5732FA"/>
    <w:rsid w:val="0F5801E9"/>
    <w:rsid w:val="0F5B1E08"/>
    <w:rsid w:val="0F5C4C71"/>
    <w:rsid w:val="0F5E7046"/>
    <w:rsid w:val="0F5F4B3E"/>
    <w:rsid w:val="0F612806"/>
    <w:rsid w:val="0F675A2D"/>
    <w:rsid w:val="0F6B70F9"/>
    <w:rsid w:val="0F6F50EB"/>
    <w:rsid w:val="0F7D5DFD"/>
    <w:rsid w:val="0F8012E7"/>
    <w:rsid w:val="0F8116C6"/>
    <w:rsid w:val="0F8B45C8"/>
    <w:rsid w:val="0F8B4E90"/>
    <w:rsid w:val="0F8D3CC2"/>
    <w:rsid w:val="0F9228AC"/>
    <w:rsid w:val="0F927670"/>
    <w:rsid w:val="0F936B57"/>
    <w:rsid w:val="0F977AA3"/>
    <w:rsid w:val="0F9F3EA9"/>
    <w:rsid w:val="0FA22B2D"/>
    <w:rsid w:val="0FA5492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17A73"/>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35C06"/>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B2170"/>
    <w:rsid w:val="107E7E13"/>
    <w:rsid w:val="10800B16"/>
    <w:rsid w:val="10801857"/>
    <w:rsid w:val="108065DC"/>
    <w:rsid w:val="1091549D"/>
    <w:rsid w:val="10937178"/>
    <w:rsid w:val="10945A26"/>
    <w:rsid w:val="10953E28"/>
    <w:rsid w:val="109B3B87"/>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0F11BFF"/>
    <w:rsid w:val="10FB5541"/>
    <w:rsid w:val="11032AF5"/>
    <w:rsid w:val="110A5B61"/>
    <w:rsid w:val="11101151"/>
    <w:rsid w:val="11121ABB"/>
    <w:rsid w:val="1112714C"/>
    <w:rsid w:val="11130EB6"/>
    <w:rsid w:val="1115292B"/>
    <w:rsid w:val="11173879"/>
    <w:rsid w:val="11174D87"/>
    <w:rsid w:val="111A6A63"/>
    <w:rsid w:val="111E2C7A"/>
    <w:rsid w:val="111F249C"/>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87E4B"/>
    <w:rsid w:val="114B2327"/>
    <w:rsid w:val="114B246A"/>
    <w:rsid w:val="11537076"/>
    <w:rsid w:val="11560B24"/>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86A3E"/>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34C33"/>
    <w:rsid w:val="12956BE3"/>
    <w:rsid w:val="129C4B1E"/>
    <w:rsid w:val="12A13BDA"/>
    <w:rsid w:val="12A142E5"/>
    <w:rsid w:val="12A40193"/>
    <w:rsid w:val="12A57585"/>
    <w:rsid w:val="12A8272F"/>
    <w:rsid w:val="12AA7C2D"/>
    <w:rsid w:val="12AC2445"/>
    <w:rsid w:val="12B10B99"/>
    <w:rsid w:val="12B177F0"/>
    <w:rsid w:val="12B209E5"/>
    <w:rsid w:val="12B31244"/>
    <w:rsid w:val="12B43E24"/>
    <w:rsid w:val="12C052D2"/>
    <w:rsid w:val="12C60939"/>
    <w:rsid w:val="12C91FC6"/>
    <w:rsid w:val="12CB2184"/>
    <w:rsid w:val="12CE14AA"/>
    <w:rsid w:val="12CE7A65"/>
    <w:rsid w:val="12D24720"/>
    <w:rsid w:val="12D4415B"/>
    <w:rsid w:val="12D62E0E"/>
    <w:rsid w:val="12E0156B"/>
    <w:rsid w:val="12E5686D"/>
    <w:rsid w:val="12EC38F6"/>
    <w:rsid w:val="12F00E7B"/>
    <w:rsid w:val="12F76329"/>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55619"/>
    <w:rsid w:val="13667089"/>
    <w:rsid w:val="13691B25"/>
    <w:rsid w:val="137F1C8D"/>
    <w:rsid w:val="13834E54"/>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B03AF1"/>
    <w:rsid w:val="14B04A2F"/>
    <w:rsid w:val="14B3042E"/>
    <w:rsid w:val="14B63D6A"/>
    <w:rsid w:val="14B872BA"/>
    <w:rsid w:val="14BF672C"/>
    <w:rsid w:val="14C209A7"/>
    <w:rsid w:val="14C453B3"/>
    <w:rsid w:val="14C569D9"/>
    <w:rsid w:val="14C65E96"/>
    <w:rsid w:val="14CA27FE"/>
    <w:rsid w:val="14CB0124"/>
    <w:rsid w:val="14D031DA"/>
    <w:rsid w:val="14D1156B"/>
    <w:rsid w:val="14D1229A"/>
    <w:rsid w:val="14D141D7"/>
    <w:rsid w:val="14D5012B"/>
    <w:rsid w:val="14D906D3"/>
    <w:rsid w:val="14E47191"/>
    <w:rsid w:val="14E93C21"/>
    <w:rsid w:val="14E9786D"/>
    <w:rsid w:val="14EC3E5C"/>
    <w:rsid w:val="14ED0A8C"/>
    <w:rsid w:val="14ED7C9B"/>
    <w:rsid w:val="14F02BBD"/>
    <w:rsid w:val="14F41E3B"/>
    <w:rsid w:val="14FA4CD9"/>
    <w:rsid w:val="14FB5F43"/>
    <w:rsid w:val="15023202"/>
    <w:rsid w:val="1504739B"/>
    <w:rsid w:val="150721FB"/>
    <w:rsid w:val="150A1882"/>
    <w:rsid w:val="15100FA6"/>
    <w:rsid w:val="151329E3"/>
    <w:rsid w:val="1513479B"/>
    <w:rsid w:val="151677A4"/>
    <w:rsid w:val="151D2BFF"/>
    <w:rsid w:val="151E65DD"/>
    <w:rsid w:val="151F6DBF"/>
    <w:rsid w:val="1521576A"/>
    <w:rsid w:val="15231E2E"/>
    <w:rsid w:val="15262908"/>
    <w:rsid w:val="1529226A"/>
    <w:rsid w:val="152F620B"/>
    <w:rsid w:val="15361576"/>
    <w:rsid w:val="15387A07"/>
    <w:rsid w:val="153A5FE7"/>
    <w:rsid w:val="153C1F3A"/>
    <w:rsid w:val="153D0A90"/>
    <w:rsid w:val="153D638E"/>
    <w:rsid w:val="153E4B6C"/>
    <w:rsid w:val="15413E16"/>
    <w:rsid w:val="15424AED"/>
    <w:rsid w:val="15446B31"/>
    <w:rsid w:val="15494BB0"/>
    <w:rsid w:val="154A5317"/>
    <w:rsid w:val="154D3BE2"/>
    <w:rsid w:val="15536F18"/>
    <w:rsid w:val="155D4772"/>
    <w:rsid w:val="1560174E"/>
    <w:rsid w:val="156103E7"/>
    <w:rsid w:val="15635D03"/>
    <w:rsid w:val="15667B43"/>
    <w:rsid w:val="15703F98"/>
    <w:rsid w:val="15707C42"/>
    <w:rsid w:val="15746741"/>
    <w:rsid w:val="157723EB"/>
    <w:rsid w:val="157876E1"/>
    <w:rsid w:val="15792A24"/>
    <w:rsid w:val="157C1BBE"/>
    <w:rsid w:val="157C2EC4"/>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41F63"/>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3567"/>
    <w:rsid w:val="15D2523F"/>
    <w:rsid w:val="15D61E56"/>
    <w:rsid w:val="15DC216E"/>
    <w:rsid w:val="15DD2EBE"/>
    <w:rsid w:val="15DD7FCF"/>
    <w:rsid w:val="15E0628C"/>
    <w:rsid w:val="15E247C1"/>
    <w:rsid w:val="15E4589D"/>
    <w:rsid w:val="15E577C7"/>
    <w:rsid w:val="15EA10AD"/>
    <w:rsid w:val="15EB18DC"/>
    <w:rsid w:val="15F04781"/>
    <w:rsid w:val="15F92C7D"/>
    <w:rsid w:val="15FF2443"/>
    <w:rsid w:val="15FF4438"/>
    <w:rsid w:val="16025032"/>
    <w:rsid w:val="16037314"/>
    <w:rsid w:val="16053669"/>
    <w:rsid w:val="16085527"/>
    <w:rsid w:val="160856FA"/>
    <w:rsid w:val="161026C7"/>
    <w:rsid w:val="161409A3"/>
    <w:rsid w:val="16223FCC"/>
    <w:rsid w:val="16293050"/>
    <w:rsid w:val="16314558"/>
    <w:rsid w:val="16343187"/>
    <w:rsid w:val="163E0BDC"/>
    <w:rsid w:val="164129F4"/>
    <w:rsid w:val="164219DA"/>
    <w:rsid w:val="16446CE1"/>
    <w:rsid w:val="16463ED1"/>
    <w:rsid w:val="16485385"/>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2851A6"/>
    <w:rsid w:val="17351DB9"/>
    <w:rsid w:val="17393127"/>
    <w:rsid w:val="17422E25"/>
    <w:rsid w:val="17423214"/>
    <w:rsid w:val="17440F4E"/>
    <w:rsid w:val="17461694"/>
    <w:rsid w:val="17485D50"/>
    <w:rsid w:val="174903F6"/>
    <w:rsid w:val="174D4326"/>
    <w:rsid w:val="17503548"/>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56425"/>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14AA6"/>
    <w:rsid w:val="184476DA"/>
    <w:rsid w:val="18486D78"/>
    <w:rsid w:val="18535145"/>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62581"/>
    <w:rsid w:val="18B7242B"/>
    <w:rsid w:val="18BA29D6"/>
    <w:rsid w:val="18BB161F"/>
    <w:rsid w:val="18BB5702"/>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672E7"/>
    <w:rsid w:val="19175D72"/>
    <w:rsid w:val="1922231E"/>
    <w:rsid w:val="1925257B"/>
    <w:rsid w:val="19285212"/>
    <w:rsid w:val="192B2DAB"/>
    <w:rsid w:val="192B526F"/>
    <w:rsid w:val="192B582F"/>
    <w:rsid w:val="192C2E02"/>
    <w:rsid w:val="192E1FEA"/>
    <w:rsid w:val="192F2041"/>
    <w:rsid w:val="193B13DC"/>
    <w:rsid w:val="193C5189"/>
    <w:rsid w:val="19420215"/>
    <w:rsid w:val="19423E7B"/>
    <w:rsid w:val="1942755D"/>
    <w:rsid w:val="19465D51"/>
    <w:rsid w:val="194679AF"/>
    <w:rsid w:val="1948038A"/>
    <w:rsid w:val="194A66F4"/>
    <w:rsid w:val="194C08BA"/>
    <w:rsid w:val="194C6683"/>
    <w:rsid w:val="19502F20"/>
    <w:rsid w:val="19546D47"/>
    <w:rsid w:val="19556234"/>
    <w:rsid w:val="19594AC8"/>
    <w:rsid w:val="195B0583"/>
    <w:rsid w:val="195E1092"/>
    <w:rsid w:val="19620449"/>
    <w:rsid w:val="19626451"/>
    <w:rsid w:val="19642537"/>
    <w:rsid w:val="19661490"/>
    <w:rsid w:val="196928B5"/>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CF1CD7"/>
    <w:rsid w:val="19D03B31"/>
    <w:rsid w:val="19D80DFE"/>
    <w:rsid w:val="19D83EBC"/>
    <w:rsid w:val="19DC2EF0"/>
    <w:rsid w:val="19DE2508"/>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51BFD"/>
    <w:rsid w:val="1A2671DD"/>
    <w:rsid w:val="1A29086A"/>
    <w:rsid w:val="1A291CE9"/>
    <w:rsid w:val="1A2933F0"/>
    <w:rsid w:val="1A295ED4"/>
    <w:rsid w:val="1A2979B4"/>
    <w:rsid w:val="1A2B340C"/>
    <w:rsid w:val="1A2D2FD6"/>
    <w:rsid w:val="1A326A5E"/>
    <w:rsid w:val="1A35314D"/>
    <w:rsid w:val="1A3621A1"/>
    <w:rsid w:val="1A3B0DCF"/>
    <w:rsid w:val="1A3B76BE"/>
    <w:rsid w:val="1A3F4787"/>
    <w:rsid w:val="1A4243B2"/>
    <w:rsid w:val="1A4351F7"/>
    <w:rsid w:val="1A435BC2"/>
    <w:rsid w:val="1A477904"/>
    <w:rsid w:val="1A4D3567"/>
    <w:rsid w:val="1A5576E1"/>
    <w:rsid w:val="1A574E8B"/>
    <w:rsid w:val="1A59248E"/>
    <w:rsid w:val="1A5B332D"/>
    <w:rsid w:val="1A5D418F"/>
    <w:rsid w:val="1A5E1696"/>
    <w:rsid w:val="1A605DAC"/>
    <w:rsid w:val="1A644E8B"/>
    <w:rsid w:val="1A671279"/>
    <w:rsid w:val="1A713623"/>
    <w:rsid w:val="1A72738E"/>
    <w:rsid w:val="1A7330E0"/>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66027"/>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F232C"/>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8F495A"/>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A07EC"/>
    <w:rsid w:val="1BEA1399"/>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72A3F"/>
    <w:rsid w:val="1C292096"/>
    <w:rsid w:val="1C2A7C88"/>
    <w:rsid w:val="1C2D02F8"/>
    <w:rsid w:val="1C3019B6"/>
    <w:rsid w:val="1C312867"/>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606999"/>
    <w:rsid w:val="1C6479C6"/>
    <w:rsid w:val="1C650DE0"/>
    <w:rsid w:val="1C65681C"/>
    <w:rsid w:val="1C6611FF"/>
    <w:rsid w:val="1C667A4D"/>
    <w:rsid w:val="1C733A6E"/>
    <w:rsid w:val="1C787478"/>
    <w:rsid w:val="1C7911F5"/>
    <w:rsid w:val="1C7A4B33"/>
    <w:rsid w:val="1C7E582F"/>
    <w:rsid w:val="1C850CD4"/>
    <w:rsid w:val="1C87286B"/>
    <w:rsid w:val="1C87533D"/>
    <w:rsid w:val="1C8854E2"/>
    <w:rsid w:val="1C8A3DE3"/>
    <w:rsid w:val="1C8B0CC4"/>
    <w:rsid w:val="1C8E4375"/>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3085E"/>
    <w:rsid w:val="1CE43CA1"/>
    <w:rsid w:val="1CEC5A44"/>
    <w:rsid w:val="1CF13010"/>
    <w:rsid w:val="1CF370BF"/>
    <w:rsid w:val="1D030D3A"/>
    <w:rsid w:val="1D065265"/>
    <w:rsid w:val="1D076427"/>
    <w:rsid w:val="1D087F09"/>
    <w:rsid w:val="1D0C1972"/>
    <w:rsid w:val="1D0C1DDC"/>
    <w:rsid w:val="1D0D0561"/>
    <w:rsid w:val="1D132ACA"/>
    <w:rsid w:val="1D153CC9"/>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66029"/>
    <w:rsid w:val="1DA84041"/>
    <w:rsid w:val="1DA93265"/>
    <w:rsid w:val="1DA96CDC"/>
    <w:rsid w:val="1DAF513F"/>
    <w:rsid w:val="1DB33C53"/>
    <w:rsid w:val="1DB447C8"/>
    <w:rsid w:val="1DB80A24"/>
    <w:rsid w:val="1DBA16E3"/>
    <w:rsid w:val="1DBC2D11"/>
    <w:rsid w:val="1DBF1E64"/>
    <w:rsid w:val="1DC1491C"/>
    <w:rsid w:val="1DC37D51"/>
    <w:rsid w:val="1DC555FD"/>
    <w:rsid w:val="1DC60F0D"/>
    <w:rsid w:val="1DCC31D5"/>
    <w:rsid w:val="1DD16DAA"/>
    <w:rsid w:val="1DD33028"/>
    <w:rsid w:val="1DD60645"/>
    <w:rsid w:val="1DD95E1B"/>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1773E"/>
    <w:rsid w:val="1E122944"/>
    <w:rsid w:val="1E167FA6"/>
    <w:rsid w:val="1E197B55"/>
    <w:rsid w:val="1E1A488E"/>
    <w:rsid w:val="1E1E022A"/>
    <w:rsid w:val="1E1E2ADB"/>
    <w:rsid w:val="1E253531"/>
    <w:rsid w:val="1E264901"/>
    <w:rsid w:val="1E267E84"/>
    <w:rsid w:val="1E291941"/>
    <w:rsid w:val="1E2B5964"/>
    <w:rsid w:val="1E2F798D"/>
    <w:rsid w:val="1E300851"/>
    <w:rsid w:val="1E301FEE"/>
    <w:rsid w:val="1E343DC7"/>
    <w:rsid w:val="1E365A90"/>
    <w:rsid w:val="1E3C5518"/>
    <w:rsid w:val="1E3C5B16"/>
    <w:rsid w:val="1E3E45C2"/>
    <w:rsid w:val="1E3E62A6"/>
    <w:rsid w:val="1E3F5F71"/>
    <w:rsid w:val="1E4059E9"/>
    <w:rsid w:val="1E425F21"/>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9A2D4D"/>
    <w:rsid w:val="1EA00733"/>
    <w:rsid w:val="1EA31D3F"/>
    <w:rsid w:val="1EA33475"/>
    <w:rsid w:val="1EA413F6"/>
    <w:rsid w:val="1EA51FFC"/>
    <w:rsid w:val="1EA96187"/>
    <w:rsid w:val="1EAC020A"/>
    <w:rsid w:val="1EAD1197"/>
    <w:rsid w:val="1EAD4715"/>
    <w:rsid w:val="1EB0609A"/>
    <w:rsid w:val="1EB43275"/>
    <w:rsid w:val="1EB772BC"/>
    <w:rsid w:val="1EB85929"/>
    <w:rsid w:val="1EBF4CD5"/>
    <w:rsid w:val="1ECB2149"/>
    <w:rsid w:val="1ECE1B03"/>
    <w:rsid w:val="1ECE723E"/>
    <w:rsid w:val="1ED47EAE"/>
    <w:rsid w:val="1ED55822"/>
    <w:rsid w:val="1EE133D1"/>
    <w:rsid w:val="1EE66B75"/>
    <w:rsid w:val="1EE82B1F"/>
    <w:rsid w:val="1EE83BBB"/>
    <w:rsid w:val="1EEA0B27"/>
    <w:rsid w:val="1EEC1AE0"/>
    <w:rsid w:val="1EEC3E9A"/>
    <w:rsid w:val="1EEF34D5"/>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827D6"/>
    <w:rsid w:val="1F3965C5"/>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5050A"/>
    <w:rsid w:val="1F864FF3"/>
    <w:rsid w:val="1F875566"/>
    <w:rsid w:val="1F8E4E2E"/>
    <w:rsid w:val="1F927123"/>
    <w:rsid w:val="1F9A2894"/>
    <w:rsid w:val="1F9A4525"/>
    <w:rsid w:val="1F9A7DD3"/>
    <w:rsid w:val="1FA32465"/>
    <w:rsid w:val="1FA35CF7"/>
    <w:rsid w:val="1FA71D9E"/>
    <w:rsid w:val="1FAA54F7"/>
    <w:rsid w:val="1FB234B9"/>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1FFD19AA"/>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1E5B71"/>
    <w:rsid w:val="20217602"/>
    <w:rsid w:val="20243140"/>
    <w:rsid w:val="20256BF3"/>
    <w:rsid w:val="202607A4"/>
    <w:rsid w:val="202904CB"/>
    <w:rsid w:val="202A66BB"/>
    <w:rsid w:val="202E1138"/>
    <w:rsid w:val="202E7722"/>
    <w:rsid w:val="20325E0C"/>
    <w:rsid w:val="2035501C"/>
    <w:rsid w:val="203971E9"/>
    <w:rsid w:val="203D5472"/>
    <w:rsid w:val="203F1315"/>
    <w:rsid w:val="20422116"/>
    <w:rsid w:val="204B6316"/>
    <w:rsid w:val="204C7C1A"/>
    <w:rsid w:val="204D6F97"/>
    <w:rsid w:val="20506ECE"/>
    <w:rsid w:val="20507F06"/>
    <w:rsid w:val="20517C71"/>
    <w:rsid w:val="2054040E"/>
    <w:rsid w:val="20594BEA"/>
    <w:rsid w:val="20596EAE"/>
    <w:rsid w:val="205A6767"/>
    <w:rsid w:val="205C19D4"/>
    <w:rsid w:val="205D4887"/>
    <w:rsid w:val="20611AF5"/>
    <w:rsid w:val="2063268B"/>
    <w:rsid w:val="20636415"/>
    <w:rsid w:val="206A1605"/>
    <w:rsid w:val="206D525E"/>
    <w:rsid w:val="20740623"/>
    <w:rsid w:val="2078160F"/>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BC23DF"/>
    <w:rsid w:val="20C03C60"/>
    <w:rsid w:val="20C215F3"/>
    <w:rsid w:val="20C872AC"/>
    <w:rsid w:val="20C93953"/>
    <w:rsid w:val="20C976CD"/>
    <w:rsid w:val="20CA278B"/>
    <w:rsid w:val="20CB0D21"/>
    <w:rsid w:val="20CB74DE"/>
    <w:rsid w:val="20D50E20"/>
    <w:rsid w:val="20D71F67"/>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0FE65D6"/>
    <w:rsid w:val="21003A34"/>
    <w:rsid w:val="2103608A"/>
    <w:rsid w:val="21062211"/>
    <w:rsid w:val="210F68A1"/>
    <w:rsid w:val="21130101"/>
    <w:rsid w:val="21156B41"/>
    <w:rsid w:val="211D790C"/>
    <w:rsid w:val="2120090B"/>
    <w:rsid w:val="2123470E"/>
    <w:rsid w:val="212815C7"/>
    <w:rsid w:val="212D0011"/>
    <w:rsid w:val="212F4816"/>
    <w:rsid w:val="21336761"/>
    <w:rsid w:val="213542E9"/>
    <w:rsid w:val="213848AB"/>
    <w:rsid w:val="21395E01"/>
    <w:rsid w:val="21396844"/>
    <w:rsid w:val="213B5D42"/>
    <w:rsid w:val="213D76B7"/>
    <w:rsid w:val="213E6702"/>
    <w:rsid w:val="213E73FB"/>
    <w:rsid w:val="214114FB"/>
    <w:rsid w:val="2143203B"/>
    <w:rsid w:val="2143692E"/>
    <w:rsid w:val="21452AE2"/>
    <w:rsid w:val="2148417B"/>
    <w:rsid w:val="214A277A"/>
    <w:rsid w:val="214E5B11"/>
    <w:rsid w:val="214F2FE1"/>
    <w:rsid w:val="21516AF2"/>
    <w:rsid w:val="21521A6E"/>
    <w:rsid w:val="21551670"/>
    <w:rsid w:val="21553ADF"/>
    <w:rsid w:val="21580349"/>
    <w:rsid w:val="215A567B"/>
    <w:rsid w:val="215D1808"/>
    <w:rsid w:val="215E091A"/>
    <w:rsid w:val="215F24F2"/>
    <w:rsid w:val="215F56B2"/>
    <w:rsid w:val="21651DC2"/>
    <w:rsid w:val="21652E75"/>
    <w:rsid w:val="216C27BE"/>
    <w:rsid w:val="216C6B87"/>
    <w:rsid w:val="216E1782"/>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036B5"/>
    <w:rsid w:val="21D2133B"/>
    <w:rsid w:val="21D51DF1"/>
    <w:rsid w:val="21D8516F"/>
    <w:rsid w:val="21D96D07"/>
    <w:rsid w:val="21DC4656"/>
    <w:rsid w:val="21E402DB"/>
    <w:rsid w:val="21E44555"/>
    <w:rsid w:val="21E5678C"/>
    <w:rsid w:val="21E8009D"/>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F2244"/>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B717A"/>
    <w:rsid w:val="22ED1151"/>
    <w:rsid w:val="22EF3AA1"/>
    <w:rsid w:val="22F0339E"/>
    <w:rsid w:val="22F260B3"/>
    <w:rsid w:val="22F773B9"/>
    <w:rsid w:val="23014B3D"/>
    <w:rsid w:val="23042807"/>
    <w:rsid w:val="23075061"/>
    <w:rsid w:val="230A64F4"/>
    <w:rsid w:val="2310193C"/>
    <w:rsid w:val="2314181E"/>
    <w:rsid w:val="2317727F"/>
    <w:rsid w:val="231B2D00"/>
    <w:rsid w:val="231C19E5"/>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727A3F"/>
    <w:rsid w:val="23732E42"/>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02BE"/>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78BC"/>
    <w:rsid w:val="23E64F34"/>
    <w:rsid w:val="23E75469"/>
    <w:rsid w:val="23E9433B"/>
    <w:rsid w:val="23EC2899"/>
    <w:rsid w:val="23ED2BCC"/>
    <w:rsid w:val="23EE1A0B"/>
    <w:rsid w:val="23EE32CE"/>
    <w:rsid w:val="23F22BF1"/>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3F6D31"/>
    <w:rsid w:val="244059FE"/>
    <w:rsid w:val="244340B3"/>
    <w:rsid w:val="24444FD4"/>
    <w:rsid w:val="24464871"/>
    <w:rsid w:val="244A34E7"/>
    <w:rsid w:val="245045AC"/>
    <w:rsid w:val="245D17E8"/>
    <w:rsid w:val="245E7BF1"/>
    <w:rsid w:val="24651C4F"/>
    <w:rsid w:val="24696713"/>
    <w:rsid w:val="246F7D44"/>
    <w:rsid w:val="24706349"/>
    <w:rsid w:val="24711307"/>
    <w:rsid w:val="24712DF5"/>
    <w:rsid w:val="24731BCB"/>
    <w:rsid w:val="24754CB4"/>
    <w:rsid w:val="247769A4"/>
    <w:rsid w:val="24784120"/>
    <w:rsid w:val="247A0B6D"/>
    <w:rsid w:val="24821C44"/>
    <w:rsid w:val="24822A2F"/>
    <w:rsid w:val="248A1D6B"/>
    <w:rsid w:val="248A2891"/>
    <w:rsid w:val="248B587E"/>
    <w:rsid w:val="248D1D37"/>
    <w:rsid w:val="24962F88"/>
    <w:rsid w:val="24965CCD"/>
    <w:rsid w:val="24975BE5"/>
    <w:rsid w:val="24991F99"/>
    <w:rsid w:val="24992F68"/>
    <w:rsid w:val="249D6F0E"/>
    <w:rsid w:val="249F4CC6"/>
    <w:rsid w:val="24A03D43"/>
    <w:rsid w:val="24A40035"/>
    <w:rsid w:val="24A77B3C"/>
    <w:rsid w:val="24AB13AF"/>
    <w:rsid w:val="24AB6028"/>
    <w:rsid w:val="24B10DC1"/>
    <w:rsid w:val="24B22A0D"/>
    <w:rsid w:val="24B331B5"/>
    <w:rsid w:val="24B3371E"/>
    <w:rsid w:val="24B37F87"/>
    <w:rsid w:val="24B41D58"/>
    <w:rsid w:val="24B94F60"/>
    <w:rsid w:val="24BE00A1"/>
    <w:rsid w:val="24C671AD"/>
    <w:rsid w:val="24C80E72"/>
    <w:rsid w:val="24D264D0"/>
    <w:rsid w:val="24D26DD6"/>
    <w:rsid w:val="24D8775D"/>
    <w:rsid w:val="24DB4363"/>
    <w:rsid w:val="24DC520B"/>
    <w:rsid w:val="24DE25AB"/>
    <w:rsid w:val="24E5269B"/>
    <w:rsid w:val="24EC41B0"/>
    <w:rsid w:val="24EE263C"/>
    <w:rsid w:val="24EF13F1"/>
    <w:rsid w:val="24F54873"/>
    <w:rsid w:val="24F96709"/>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0A9A"/>
    <w:rsid w:val="252B3115"/>
    <w:rsid w:val="252E0B34"/>
    <w:rsid w:val="253009E7"/>
    <w:rsid w:val="25314B2C"/>
    <w:rsid w:val="2531784F"/>
    <w:rsid w:val="25340661"/>
    <w:rsid w:val="25360886"/>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45C3"/>
    <w:rsid w:val="257779B7"/>
    <w:rsid w:val="257803EE"/>
    <w:rsid w:val="257D18E3"/>
    <w:rsid w:val="257E639A"/>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71F4B"/>
    <w:rsid w:val="25FC75AF"/>
    <w:rsid w:val="26034949"/>
    <w:rsid w:val="26040C06"/>
    <w:rsid w:val="2606125C"/>
    <w:rsid w:val="260D34D1"/>
    <w:rsid w:val="260F3970"/>
    <w:rsid w:val="26164EC4"/>
    <w:rsid w:val="26193912"/>
    <w:rsid w:val="26197FFF"/>
    <w:rsid w:val="261B5B78"/>
    <w:rsid w:val="261B6EC1"/>
    <w:rsid w:val="26292DB6"/>
    <w:rsid w:val="262B57F5"/>
    <w:rsid w:val="262D3E96"/>
    <w:rsid w:val="262D5251"/>
    <w:rsid w:val="26316C79"/>
    <w:rsid w:val="2633043C"/>
    <w:rsid w:val="26340AC3"/>
    <w:rsid w:val="26342E81"/>
    <w:rsid w:val="263936FF"/>
    <w:rsid w:val="26404BEC"/>
    <w:rsid w:val="264204E2"/>
    <w:rsid w:val="2643057C"/>
    <w:rsid w:val="264572D2"/>
    <w:rsid w:val="264A2245"/>
    <w:rsid w:val="264A3E95"/>
    <w:rsid w:val="264B1ACA"/>
    <w:rsid w:val="264F78C8"/>
    <w:rsid w:val="2651747C"/>
    <w:rsid w:val="26564BED"/>
    <w:rsid w:val="2656623A"/>
    <w:rsid w:val="2659575B"/>
    <w:rsid w:val="265A0E1E"/>
    <w:rsid w:val="265A2793"/>
    <w:rsid w:val="26613ECA"/>
    <w:rsid w:val="26622AE4"/>
    <w:rsid w:val="2663123F"/>
    <w:rsid w:val="266339E8"/>
    <w:rsid w:val="266565C7"/>
    <w:rsid w:val="26686CC3"/>
    <w:rsid w:val="266D7FD5"/>
    <w:rsid w:val="26725883"/>
    <w:rsid w:val="26737526"/>
    <w:rsid w:val="26744EA0"/>
    <w:rsid w:val="267B6EC2"/>
    <w:rsid w:val="267E2BF4"/>
    <w:rsid w:val="26872E00"/>
    <w:rsid w:val="26886695"/>
    <w:rsid w:val="268A2240"/>
    <w:rsid w:val="268E0894"/>
    <w:rsid w:val="26916DB8"/>
    <w:rsid w:val="26955EFE"/>
    <w:rsid w:val="269837EF"/>
    <w:rsid w:val="269D560D"/>
    <w:rsid w:val="26A4086B"/>
    <w:rsid w:val="26A527E1"/>
    <w:rsid w:val="26A84125"/>
    <w:rsid w:val="26AA70AB"/>
    <w:rsid w:val="26AD35FE"/>
    <w:rsid w:val="26AF7EB1"/>
    <w:rsid w:val="26B03757"/>
    <w:rsid w:val="26B21B08"/>
    <w:rsid w:val="26B24ECF"/>
    <w:rsid w:val="26B308DC"/>
    <w:rsid w:val="26B572AB"/>
    <w:rsid w:val="26B776B1"/>
    <w:rsid w:val="26B8558F"/>
    <w:rsid w:val="26BA10B7"/>
    <w:rsid w:val="26BA7CF8"/>
    <w:rsid w:val="26C03942"/>
    <w:rsid w:val="26C518B8"/>
    <w:rsid w:val="26C5793A"/>
    <w:rsid w:val="26C95870"/>
    <w:rsid w:val="26C95C2B"/>
    <w:rsid w:val="26CC5F73"/>
    <w:rsid w:val="26CE2F0A"/>
    <w:rsid w:val="26CF27C0"/>
    <w:rsid w:val="26CF63D9"/>
    <w:rsid w:val="26D07CC0"/>
    <w:rsid w:val="26D62980"/>
    <w:rsid w:val="26D82E82"/>
    <w:rsid w:val="26D9017F"/>
    <w:rsid w:val="26DD3C37"/>
    <w:rsid w:val="26DF22F7"/>
    <w:rsid w:val="26E45D21"/>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33E96"/>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65108"/>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94CDE"/>
    <w:rsid w:val="279E3CC1"/>
    <w:rsid w:val="279E4BA1"/>
    <w:rsid w:val="27A45A7E"/>
    <w:rsid w:val="27A71EC1"/>
    <w:rsid w:val="27AA4362"/>
    <w:rsid w:val="27AA4C8D"/>
    <w:rsid w:val="27AF12EF"/>
    <w:rsid w:val="27B056BE"/>
    <w:rsid w:val="27B153F8"/>
    <w:rsid w:val="27B47525"/>
    <w:rsid w:val="27BE4CB5"/>
    <w:rsid w:val="27BF2FD9"/>
    <w:rsid w:val="27BF67BA"/>
    <w:rsid w:val="27C11C6D"/>
    <w:rsid w:val="27C60A21"/>
    <w:rsid w:val="27CD48D5"/>
    <w:rsid w:val="27CE27FE"/>
    <w:rsid w:val="27D021D8"/>
    <w:rsid w:val="27D36A26"/>
    <w:rsid w:val="27D52A36"/>
    <w:rsid w:val="27D54E77"/>
    <w:rsid w:val="27D84549"/>
    <w:rsid w:val="27DB4D1C"/>
    <w:rsid w:val="27DE1BFF"/>
    <w:rsid w:val="27E02798"/>
    <w:rsid w:val="27E44357"/>
    <w:rsid w:val="27E53CCB"/>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0A6F"/>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2155"/>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63D5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8006B"/>
    <w:rsid w:val="29294232"/>
    <w:rsid w:val="292A1215"/>
    <w:rsid w:val="292C346D"/>
    <w:rsid w:val="292E488D"/>
    <w:rsid w:val="292F6266"/>
    <w:rsid w:val="2932177F"/>
    <w:rsid w:val="29362D60"/>
    <w:rsid w:val="293A1F66"/>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770F9"/>
    <w:rsid w:val="299B07C3"/>
    <w:rsid w:val="299F6615"/>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CF5D45"/>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C2216"/>
    <w:rsid w:val="2A290FD9"/>
    <w:rsid w:val="2A361CB2"/>
    <w:rsid w:val="2A36594F"/>
    <w:rsid w:val="2A3B3E69"/>
    <w:rsid w:val="2A3B4C1A"/>
    <w:rsid w:val="2A3F15E1"/>
    <w:rsid w:val="2A451545"/>
    <w:rsid w:val="2A467378"/>
    <w:rsid w:val="2A4A1E68"/>
    <w:rsid w:val="2A4B11DF"/>
    <w:rsid w:val="2A4F30C7"/>
    <w:rsid w:val="2A4F54C7"/>
    <w:rsid w:val="2A643488"/>
    <w:rsid w:val="2A6700F5"/>
    <w:rsid w:val="2A6E2A78"/>
    <w:rsid w:val="2A737DA4"/>
    <w:rsid w:val="2A767599"/>
    <w:rsid w:val="2A7C3E7B"/>
    <w:rsid w:val="2A7D56C7"/>
    <w:rsid w:val="2A800ECA"/>
    <w:rsid w:val="2A8050E9"/>
    <w:rsid w:val="2A805538"/>
    <w:rsid w:val="2A81027F"/>
    <w:rsid w:val="2A83424B"/>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9741F"/>
    <w:rsid w:val="2ADA1FD1"/>
    <w:rsid w:val="2AE020A3"/>
    <w:rsid w:val="2AE24F5D"/>
    <w:rsid w:val="2AEC5EB6"/>
    <w:rsid w:val="2AF012D3"/>
    <w:rsid w:val="2AF2081B"/>
    <w:rsid w:val="2AF32409"/>
    <w:rsid w:val="2AFA5225"/>
    <w:rsid w:val="2B056378"/>
    <w:rsid w:val="2B0758FE"/>
    <w:rsid w:val="2B08119A"/>
    <w:rsid w:val="2B085178"/>
    <w:rsid w:val="2B090250"/>
    <w:rsid w:val="2B0B1C38"/>
    <w:rsid w:val="2B0D049D"/>
    <w:rsid w:val="2B165E66"/>
    <w:rsid w:val="2B183F05"/>
    <w:rsid w:val="2B1870C7"/>
    <w:rsid w:val="2B1C0044"/>
    <w:rsid w:val="2B1F35A9"/>
    <w:rsid w:val="2B200A00"/>
    <w:rsid w:val="2B227650"/>
    <w:rsid w:val="2B236535"/>
    <w:rsid w:val="2B245253"/>
    <w:rsid w:val="2B287EB6"/>
    <w:rsid w:val="2B2965B4"/>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83944"/>
    <w:rsid w:val="2B8B558C"/>
    <w:rsid w:val="2B8E299D"/>
    <w:rsid w:val="2B936667"/>
    <w:rsid w:val="2B990220"/>
    <w:rsid w:val="2B9C527E"/>
    <w:rsid w:val="2BA07465"/>
    <w:rsid w:val="2BA56072"/>
    <w:rsid w:val="2BA62DB5"/>
    <w:rsid w:val="2BA65058"/>
    <w:rsid w:val="2BA90775"/>
    <w:rsid w:val="2BAA4BC2"/>
    <w:rsid w:val="2BAF6A9E"/>
    <w:rsid w:val="2BB259E6"/>
    <w:rsid w:val="2BB404F2"/>
    <w:rsid w:val="2BB74F47"/>
    <w:rsid w:val="2BB93A98"/>
    <w:rsid w:val="2BBD5A31"/>
    <w:rsid w:val="2BC02CC7"/>
    <w:rsid w:val="2BC6205E"/>
    <w:rsid w:val="2BC62E2C"/>
    <w:rsid w:val="2BC636A5"/>
    <w:rsid w:val="2BCA539C"/>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0F0A"/>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31B10"/>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53164"/>
    <w:rsid w:val="2D064B26"/>
    <w:rsid w:val="2D06761B"/>
    <w:rsid w:val="2D08107C"/>
    <w:rsid w:val="2D086932"/>
    <w:rsid w:val="2D104632"/>
    <w:rsid w:val="2D1637C6"/>
    <w:rsid w:val="2D1E1466"/>
    <w:rsid w:val="2D2A3650"/>
    <w:rsid w:val="2D3072FE"/>
    <w:rsid w:val="2D31028B"/>
    <w:rsid w:val="2D352CFC"/>
    <w:rsid w:val="2D356F9E"/>
    <w:rsid w:val="2D3C59C4"/>
    <w:rsid w:val="2D416432"/>
    <w:rsid w:val="2D426EFD"/>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47B81"/>
    <w:rsid w:val="2DF52FB9"/>
    <w:rsid w:val="2DF5552F"/>
    <w:rsid w:val="2DF73F30"/>
    <w:rsid w:val="2DF9136B"/>
    <w:rsid w:val="2DFA1D0C"/>
    <w:rsid w:val="2DFE6ACC"/>
    <w:rsid w:val="2E044853"/>
    <w:rsid w:val="2E0C7A4C"/>
    <w:rsid w:val="2E0D5208"/>
    <w:rsid w:val="2E0E4621"/>
    <w:rsid w:val="2E1121FD"/>
    <w:rsid w:val="2E143406"/>
    <w:rsid w:val="2E14569B"/>
    <w:rsid w:val="2E1502F0"/>
    <w:rsid w:val="2E1F1A31"/>
    <w:rsid w:val="2E205229"/>
    <w:rsid w:val="2E2C7176"/>
    <w:rsid w:val="2E2D1D61"/>
    <w:rsid w:val="2E2D3D34"/>
    <w:rsid w:val="2E353422"/>
    <w:rsid w:val="2E380991"/>
    <w:rsid w:val="2E3926C3"/>
    <w:rsid w:val="2E3C6173"/>
    <w:rsid w:val="2E4A731A"/>
    <w:rsid w:val="2E5024D8"/>
    <w:rsid w:val="2E5C4F9B"/>
    <w:rsid w:val="2E605AE6"/>
    <w:rsid w:val="2E643BF9"/>
    <w:rsid w:val="2E660A34"/>
    <w:rsid w:val="2E680509"/>
    <w:rsid w:val="2E686180"/>
    <w:rsid w:val="2E69530D"/>
    <w:rsid w:val="2E725AB5"/>
    <w:rsid w:val="2E8725F8"/>
    <w:rsid w:val="2E89270D"/>
    <w:rsid w:val="2E9101F7"/>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EFE61D0"/>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C1641"/>
    <w:rsid w:val="2F6051BD"/>
    <w:rsid w:val="2F66155E"/>
    <w:rsid w:val="2F697088"/>
    <w:rsid w:val="2F725728"/>
    <w:rsid w:val="2F776C59"/>
    <w:rsid w:val="2F781F3C"/>
    <w:rsid w:val="2F791891"/>
    <w:rsid w:val="2F7F152E"/>
    <w:rsid w:val="2F811219"/>
    <w:rsid w:val="2F843638"/>
    <w:rsid w:val="2F877CDA"/>
    <w:rsid w:val="2F890849"/>
    <w:rsid w:val="2F940AA3"/>
    <w:rsid w:val="2F9A4E99"/>
    <w:rsid w:val="2F9F6B02"/>
    <w:rsid w:val="2F9F7778"/>
    <w:rsid w:val="2FA1288C"/>
    <w:rsid w:val="2FA13F69"/>
    <w:rsid w:val="2FA43916"/>
    <w:rsid w:val="2FA53649"/>
    <w:rsid w:val="2FA6434F"/>
    <w:rsid w:val="2FA707D7"/>
    <w:rsid w:val="2FA766BC"/>
    <w:rsid w:val="2FA934A4"/>
    <w:rsid w:val="2FB113E5"/>
    <w:rsid w:val="2FB47BC5"/>
    <w:rsid w:val="2FB52841"/>
    <w:rsid w:val="2FB54744"/>
    <w:rsid w:val="2FB72CA0"/>
    <w:rsid w:val="2FBC3537"/>
    <w:rsid w:val="2FC601C1"/>
    <w:rsid w:val="2FC70CB8"/>
    <w:rsid w:val="2FC758FA"/>
    <w:rsid w:val="2FC91B89"/>
    <w:rsid w:val="2FC97397"/>
    <w:rsid w:val="2FCA1C72"/>
    <w:rsid w:val="2FCB0E21"/>
    <w:rsid w:val="2FCD4B9C"/>
    <w:rsid w:val="2FCE24D5"/>
    <w:rsid w:val="2FCF2044"/>
    <w:rsid w:val="2FD626D3"/>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A70B1"/>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81681"/>
    <w:rsid w:val="307A0395"/>
    <w:rsid w:val="307D2377"/>
    <w:rsid w:val="307E4267"/>
    <w:rsid w:val="3080592C"/>
    <w:rsid w:val="308140F8"/>
    <w:rsid w:val="30832CE2"/>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122F8"/>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B2E7D"/>
    <w:rsid w:val="31A226AA"/>
    <w:rsid w:val="31A77430"/>
    <w:rsid w:val="31A85D10"/>
    <w:rsid w:val="31AD726B"/>
    <w:rsid w:val="31B17FEA"/>
    <w:rsid w:val="31B2657D"/>
    <w:rsid w:val="31B35511"/>
    <w:rsid w:val="31B36DA6"/>
    <w:rsid w:val="31B76813"/>
    <w:rsid w:val="31BA34F9"/>
    <w:rsid w:val="31BC226A"/>
    <w:rsid w:val="31C0715C"/>
    <w:rsid w:val="31C14F32"/>
    <w:rsid w:val="31C4412F"/>
    <w:rsid w:val="31C52817"/>
    <w:rsid w:val="31C62574"/>
    <w:rsid w:val="31CB3016"/>
    <w:rsid w:val="31CD3CA4"/>
    <w:rsid w:val="31D2131E"/>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1E137A"/>
    <w:rsid w:val="321F4916"/>
    <w:rsid w:val="3221279F"/>
    <w:rsid w:val="32232D9C"/>
    <w:rsid w:val="32240257"/>
    <w:rsid w:val="32255778"/>
    <w:rsid w:val="322F4A9A"/>
    <w:rsid w:val="32312593"/>
    <w:rsid w:val="32315610"/>
    <w:rsid w:val="323159FD"/>
    <w:rsid w:val="32345AB7"/>
    <w:rsid w:val="323716E7"/>
    <w:rsid w:val="323A58E6"/>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B59EC"/>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D60F6"/>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2594"/>
    <w:rsid w:val="33DF593B"/>
    <w:rsid w:val="33E261A6"/>
    <w:rsid w:val="33E64517"/>
    <w:rsid w:val="33EB5F44"/>
    <w:rsid w:val="33ED3F3D"/>
    <w:rsid w:val="33EF3DF2"/>
    <w:rsid w:val="33F33113"/>
    <w:rsid w:val="33F7101E"/>
    <w:rsid w:val="33F76CB7"/>
    <w:rsid w:val="33F82D8B"/>
    <w:rsid w:val="33FA56BA"/>
    <w:rsid w:val="33FA572B"/>
    <w:rsid w:val="3403379A"/>
    <w:rsid w:val="34044E73"/>
    <w:rsid w:val="340A64CB"/>
    <w:rsid w:val="340D7D4E"/>
    <w:rsid w:val="340E335D"/>
    <w:rsid w:val="34100AB8"/>
    <w:rsid w:val="3411417D"/>
    <w:rsid w:val="34133997"/>
    <w:rsid w:val="341817B3"/>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4008E"/>
    <w:rsid w:val="344A01A6"/>
    <w:rsid w:val="344B6A9D"/>
    <w:rsid w:val="344E7394"/>
    <w:rsid w:val="345755A8"/>
    <w:rsid w:val="345A0537"/>
    <w:rsid w:val="345B7068"/>
    <w:rsid w:val="345C4D68"/>
    <w:rsid w:val="345D758F"/>
    <w:rsid w:val="34644217"/>
    <w:rsid w:val="3465029D"/>
    <w:rsid w:val="346A1BB2"/>
    <w:rsid w:val="346B2DA8"/>
    <w:rsid w:val="346B666F"/>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F4489"/>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B91383"/>
    <w:rsid w:val="34C037F6"/>
    <w:rsid w:val="34C510F1"/>
    <w:rsid w:val="34CC108F"/>
    <w:rsid w:val="34CC14A4"/>
    <w:rsid w:val="34CF701B"/>
    <w:rsid w:val="34D665DD"/>
    <w:rsid w:val="34DB4F48"/>
    <w:rsid w:val="34DC68C6"/>
    <w:rsid w:val="34E755E0"/>
    <w:rsid w:val="34E86316"/>
    <w:rsid w:val="34E95C2F"/>
    <w:rsid w:val="34EA52C6"/>
    <w:rsid w:val="34EE3576"/>
    <w:rsid w:val="34F020FF"/>
    <w:rsid w:val="34F063FE"/>
    <w:rsid w:val="34F17EC9"/>
    <w:rsid w:val="34F474E9"/>
    <w:rsid w:val="34FA344D"/>
    <w:rsid w:val="34FB1397"/>
    <w:rsid w:val="34FF7FD7"/>
    <w:rsid w:val="35005469"/>
    <w:rsid w:val="35017F79"/>
    <w:rsid w:val="35074086"/>
    <w:rsid w:val="351472C0"/>
    <w:rsid w:val="3515414F"/>
    <w:rsid w:val="35165FE5"/>
    <w:rsid w:val="35177DE8"/>
    <w:rsid w:val="351A2C72"/>
    <w:rsid w:val="351A50FA"/>
    <w:rsid w:val="351B01DF"/>
    <w:rsid w:val="351D651F"/>
    <w:rsid w:val="351F1416"/>
    <w:rsid w:val="351F7E03"/>
    <w:rsid w:val="35206711"/>
    <w:rsid w:val="35207159"/>
    <w:rsid w:val="352837C7"/>
    <w:rsid w:val="352B648D"/>
    <w:rsid w:val="352D7415"/>
    <w:rsid w:val="3531792A"/>
    <w:rsid w:val="353331B8"/>
    <w:rsid w:val="35450042"/>
    <w:rsid w:val="35451162"/>
    <w:rsid w:val="35460BDD"/>
    <w:rsid w:val="354B41DD"/>
    <w:rsid w:val="354F22C4"/>
    <w:rsid w:val="3552267E"/>
    <w:rsid w:val="355266C0"/>
    <w:rsid w:val="35526BCD"/>
    <w:rsid w:val="355271D3"/>
    <w:rsid w:val="35580193"/>
    <w:rsid w:val="355A5E02"/>
    <w:rsid w:val="3560473B"/>
    <w:rsid w:val="35645D84"/>
    <w:rsid w:val="35675BE6"/>
    <w:rsid w:val="356B1CA6"/>
    <w:rsid w:val="356E5A0B"/>
    <w:rsid w:val="356E6429"/>
    <w:rsid w:val="356E6E51"/>
    <w:rsid w:val="356F6456"/>
    <w:rsid w:val="357706DE"/>
    <w:rsid w:val="357D5219"/>
    <w:rsid w:val="357F4D08"/>
    <w:rsid w:val="35856351"/>
    <w:rsid w:val="35862921"/>
    <w:rsid w:val="358A4B5E"/>
    <w:rsid w:val="358D4F45"/>
    <w:rsid w:val="358E6E0F"/>
    <w:rsid w:val="35940857"/>
    <w:rsid w:val="35940CC1"/>
    <w:rsid w:val="35955E66"/>
    <w:rsid w:val="3595612F"/>
    <w:rsid w:val="35A444A3"/>
    <w:rsid w:val="35A8473A"/>
    <w:rsid w:val="35A9105B"/>
    <w:rsid w:val="35AE4034"/>
    <w:rsid w:val="35AF609D"/>
    <w:rsid w:val="35B2395E"/>
    <w:rsid w:val="35B500E7"/>
    <w:rsid w:val="35B77945"/>
    <w:rsid w:val="35BB6015"/>
    <w:rsid w:val="35BC68C2"/>
    <w:rsid w:val="35BE65B1"/>
    <w:rsid w:val="35BF0938"/>
    <w:rsid w:val="35C07DDA"/>
    <w:rsid w:val="35C367DA"/>
    <w:rsid w:val="35C647B5"/>
    <w:rsid w:val="35C65193"/>
    <w:rsid w:val="35C95FC3"/>
    <w:rsid w:val="35CD5577"/>
    <w:rsid w:val="35CD5DFA"/>
    <w:rsid w:val="35CE53F0"/>
    <w:rsid w:val="35D035FF"/>
    <w:rsid w:val="35D210D6"/>
    <w:rsid w:val="35D26B01"/>
    <w:rsid w:val="35D3027B"/>
    <w:rsid w:val="35D41A17"/>
    <w:rsid w:val="35D738FD"/>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0B30"/>
    <w:rsid w:val="361E5F79"/>
    <w:rsid w:val="361E6E47"/>
    <w:rsid w:val="36255FE7"/>
    <w:rsid w:val="362859A8"/>
    <w:rsid w:val="3629620B"/>
    <w:rsid w:val="362B046C"/>
    <w:rsid w:val="362F44EC"/>
    <w:rsid w:val="36306D85"/>
    <w:rsid w:val="36380784"/>
    <w:rsid w:val="363A6D22"/>
    <w:rsid w:val="363B18FB"/>
    <w:rsid w:val="363E4E6E"/>
    <w:rsid w:val="36466CFB"/>
    <w:rsid w:val="364A0B1E"/>
    <w:rsid w:val="364A318D"/>
    <w:rsid w:val="36553902"/>
    <w:rsid w:val="365C692E"/>
    <w:rsid w:val="365E5AB3"/>
    <w:rsid w:val="36600E05"/>
    <w:rsid w:val="36611D5C"/>
    <w:rsid w:val="3664672E"/>
    <w:rsid w:val="36684B85"/>
    <w:rsid w:val="36694323"/>
    <w:rsid w:val="366A3717"/>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CF43C3"/>
    <w:rsid w:val="36D0148B"/>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25199"/>
    <w:rsid w:val="37673380"/>
    <w:rsid w:val="37692AA2"/>
    <w:rsid w:val="376936A3"/>
    <w:rsid w:val="376B0BB2"/>
    <w:rsid w:val="376B5BE2"/>
    <w:rsid w:val="377468B5"/>
    <w:rsid w:val="37761760"/>
    <w:rsid w:val="37792D4C"/>
    <w:rsid w:val="377C1A12"/>
    <w:rsid w:val="377F29FA"/>
    <w:rsid w:val="37832E3B"/>
    <w:rsid w:val="378A2E48"/>
    <w:rsid w:val="378B14DA"/>
    <w:rsid w:val="378D4721"/>
    <w:rsid w:val="3793144B"/>
    <w:rsid w:val="379811AE"/>
    <w:rsid w:val="379A790F"/>
    <w:rsid w:val="37A24258"/>
    <w:rsid w:val="37A813B0"/>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64504"/>
    <w:rsid w:val="37C760B1"/>
    <w:rsid w:val="37C83751"/>
    <w:rsid w:val="37CA282F"/>
    <w:rsid w:val="37CB1389"/>
    <w:rsid w:val="37CB3A4F"/>
    <w:rsid w:val="37CD003C"/>
    <w:rsid w:val="37CF72D8"/>
    <w:rsid w:val="37D435D8"/>
    <w:rsid w:val="37D87D8B"/>
    <w:rsid w:val="37DB6C63"/>
    <w:rsid w:val="37DC1D8E"/>
    <w:rsid w:val="37DD41C6"/>
    <w:rsid w:val="37DE1511"/>
    <w:rsid w:val="37E57198"/>
    <w:rsid w:val="37E71A38"/>
    <w:rsid w:val="37E8544A"/>
    <w:rsid w:val="37EB49EA"/>
    <w:rsid w:val="37EC0B89"/>
    <w:rsid w:val="37EC661D"/>
    <w:rsid w:val="37F050D5"/>
    <w:rsid w:val="37F1732C"/>
    <w:rsid w:val="37F41004"/>
    <w:rsid w:val="37F53C31"/>
    <w:rsid w:val="37FE386C"/>
    <w:rsid w:val="380060EB"/>
    <w:rsid w:val="380546E0"/>
    <w:rsid w:val="38085331"/>
    <w:rsid w:val="381007FB"/>
    <w:rsid w:val="38114349"/>
    <w:rsid w:val="38117674"/>
    <w:rsid w:val="3812501F"/>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D127B"/>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8D4B1A"/>
    <w:rsid w:val="389169F6"/>
    <w:rsid w:val="38934508"/>
    <w:rsid w:val="38951ABA"/>
    <w:rsid w:val="389A6219"/>
    <w:rsid w:val="389A7DF3"/>
    <w:rsid w:val="389C197D"/>
    <w:rsid w:val="389C6FFC"/>
    <w:rsid w:val="389E103B"/>
    <w:rsid w:val="38A066E6"/>
    <w:rsid w:val="38A23398"/>
    <w:rsid w:val="38A25437"/>
    <w:rsid w:val="38A53C7F"/>
    <w:rsid w:val="38A53CD2"/>
    <w:rsid w:val="38A66351"/>
    <w:rsid w:val="38A92D72"/>
    <w:rsid w:val="38AD0FB8"/>
    <w:rsid w:val="38AD4C0A"/>
    <w:rsid w:val="38B044CA"/>
    <w:rsid w:val="38B04511"/>
    <w:rsid w:val="38B34C4D"/>
    <w:rsid w:val="38B46374"/>
    <w:rsid w:val="38BA5014"/>
    <w:rsid w:val="38BA672D"/>
    <w:rsid w:val="38C05CF9"/>
    <w:rsid w:val="38C22308"/>
    <w:rsid w:val="38C31B7A"/>
    <w:rsid w:val="38C449E2"/>
    <w:rsid w:val="38C517E5"/>
    <w:rsid w:val="38CD3B78"/>
    <w:rsid w:val="38D2274D"/>
    <w:rsid w:val="38D32B2F"/>
    <w:rsid w:val="38D370A8"/>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66BBB"/>
    <w:rsid w:val="39395F82"/>
    <w:rsid w:val="393E07AB"/>
    <w:rsid w:val="393E293F"/>
    <w:rsid w:val="393E3809"/>
    <w:rsid w:val="39436439"/>
    <w:rsid w:val="394A676A"/>
    <w:rsid w:val="39506734"/>
    <w:rsid w:val="395A6D19"/>
    <w:rsid w:val="395D0192"/>
    <w:rsid w:val="395D0E21"/>
    <w:rsid w:val="396073B4"/>
    <w:rsid w:val="3961140C"/>
    <w:rsid w:val="39623B52"/>
    <w:rsid w:val="396310E3"/>
    <w:rsid w:val="39661E49"/>
    <w:rsid w:val="39727F06"/>
    <w:rsid w:val="39765E70"/>
    <w:rsid w:val="39771A07"/>
    <w:rsid w:val="39774BBD"/>
    <w:rsid w:val="397E51D4"/>
    <w:rsid w:val="39832372"/>
    <w:rsid w:val="3984789F"/>
    <w:rsid w:val="39847EB1"/>
    <w:rsid w:val="398704BB"/>
    <w:rsid w:val="39882427"/>
    <w:rsid w:val="398B605E"/>
    <w:rsid w:val="39916F0D"/>
    <w:rsid w:val="39926717"/>
    <w:rsid w:val="399424DB"/>
    <w:rsid w:val="399812C8"/>
    <w:rsid w:val="399A4AA2"/>
    <w:rsid w:val="399E1C0B"/>
    <w:rsid w:val="399E7C1A"/>
    <w:rsid w:val="39A21811"/>
    <w:rsid w:val="39A563F3"/>
    <w:rsid w:val="39AE6303"/>
    <w:rsid w:val="39B261DB"/>
    <w:rsid w:val="39B838DE"/>
    <w:rsid w:val="39B857F7"/>
    <w:rsid w:val="39B90E5E"/>
    <w:rsid w:val="39BB3A94"/>
    <w:rsid w:val="39BF4E6C"/>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A7155"/>
    <w:rsid w:val="3A5F3F5A"/>
    <w:rsid w:val="3A5F73B0"/>
    <w:rsid w:val="3A617926"/>
    <w:rsid w:val="3A622364"/>
    <w:rsid w:val="3A635A44"/>
    <w:rsid w:val="3A66159D"/>
    <w:rsid w:val="3A6D66ED"/>
    <w:rsid w:val="3A6E306F"/>
    <w:rsid w:val="3A7008C3"/>
    <w:rsid w:val="3A7116FC"/>
    <w:rsid w:val="3A76541F"/>
    <w:rsid w:val="3A7A14EA"/>
    <w:rsid w:val="3A7C0D8E"/>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34546"/>
    <w:rsid w:val="3AD44DD0"/>
    <w:rsid w:val="3AD70173"/>
    <w:rsid w:val="3AD82831"/>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E7798"/>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45073"/>
    <w:rsid w:val="3B452280"/>
    <w:rsid w:val="3B4903BB"/>
    <w:rsid w:val="3B491398"/>
    <w:rsid w:val="3B4B4611"/>
    <w:rsid w:val="3B4F5C3D"/>
    <w:rsid w:val="3B555758"/>
    <w:rsid w:val="3B556447"/>
    <w:rsid w:val="3B59157A"/>
    <w:rsid w:val="3B5A461E"/>
    <w:rsid w:val="3B655303"/>
    <w:rsid w:val="3B6861CF"/>
    <w:rsid w:val="3B694363"/>
    <w:rsid w:val="3B6A6F30"/>
    <w:rsid w:val="3B6B3E1B"/>
    <w:rsid w:val="3B7108E4"/>
    <w:rsid w:val="3B7175ED"/>
    <w:rsid w:val="3B7445CF"/>
    <w:rsid w:val="3B7923BD"/>
    <w:rsid w:val="3B7948A0"/>
    <w:rsid w:val="3B7A0E16"/>
    <w:rsid w:val="3B7A5CB5"/>
    <w:rsid w:val="3B7B36A3"/>
    <w:rsid w:val="3B81256C"/>
    <w:rsid w:val="3B8535DD"/>
    <w:rsid w:val="3B865EFD"/>
    <w:rsid w:val="3B8A0FE3"/>
    <w:rsid w:val="3B8A6D07"/>
    <w:rsid w:val="3B8B274A"/>
    <w:rsid w:val="3B8D0B94"/>
    <w:rsid w:val="3B90223A"/>
    <w:rsid w:val="3B9314D7"/>
    <w:rsid w:val="3B9A055F"/>
    <w:rsid w:val="3B9C0A2C"/>
    <w:rsid w:val="3BA23EEE"/>
    <w:rsid w:val="3BA50C0C"/>
    <w:rsid w:val="3BA71D5D"/>
    <w:rsid w:val="3BA773DF"/>
    <w:rsid w:val="3BA866BF"/>
    <w:rsid w:val="3BAD14AF"/>
    <w:rsid w:val="3BB438AE"/>
    <w:rsid w:val="3BB503E2"/>
    <w:rsid w:val="3BB67C98"/>
    <w:rsid w:val="3BB810DD"/>
    <w:rsid w:val="3BBC728B"/>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3C76"/>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A10"/>
    <w:rsid w:val="3C120B33"/>
    <w:rsid w:val="3C154938"/>
    <w:rsid w:val="3C186DEF"/>
    <w:rsid w:val="3C1A43F3"/>
    <w:rsid w:val="3C1C40A3"/>
    <w:rsid w:val="3C2060E6"/>
    <w:rsid w:val="3C26110F"/>
    <w:rsid w:val="3C280011"/>
    <w:rsid w:val="3C292BB8"/>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638D5"/>
    <w:rsid w:val="3C88070C"/>
    <w:rsid w:val="3C893553"/>
    <w:rsid w:val="3C8C02E7"/>
    <w:rsid w:val="3C8D4D4D"/>
    <w:rsid w:val="3C8E1340"/>
    <w:rsid w:val="3C916D91"/>
    <w:rsid w:val="3C925478"/>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43E05"/>
    <w:rsid w:val="3CD81277"/>
    <w:rsid w:val="3CD927D3"/>
    <w:rsid w:val="3CDB2418"/>
    <w:rsid w:val="3CDD45F6"/>
    <w:rsid w:val="3CDD641E"/>
    <w:rsid w:val="3CDD6F13"/>
    <w:rsid w:val="3CE03540"/>
    <w:rsid w:val="3CEB0CD8"/>
    <w:rsid w:val="3CEC2184"/>
    <w:rsid w:val="3CF012B5"/>
    <w:rsid w:val="3CF10224"/>
    <w:rsid w:val="3CF10A63"/>
    <w:rsid w:val="3CF55937"/>
    <w:rsid w:val="3CFB03F3"/>
    <w:rsid w:val="3D05649D"/>
    <w:rsid w:val="3D0918B6"/>
    <w:rsid w:val="3D0D0F5F"/>
    <w:rsid w:val="3D0E2650"/>
    <w:rsid w:val="3D0E7B96"/>
    <w:rsid w:val="3D13316C"/>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5D7EC0"/>
    <w:rsid w:val="3D6C2810"/>
    <w:rsid w:val="3D6C7D6A"/>
    <w:rsid w:val="3D73183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41201"/>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A347F"/>
    <w:rsid w:val="3DDB2B21"/>
    <w:rsid w:val="3DDC6D31"/>
    <w:rsid w:val="3DE0651C"/>
    <w:rsid w:val="3DE107A0"/>
    <w:rsid w:val="3DE121B4"/>
    <w:rsid w:val="3DE21CE1"/>
    <w:rsid w:val="3DE413BA"/>
    <w:rsid w:val="3DE51DA2"/>
    <w:rsid w:val="3DE637C5"/>
    <w:rsid w:val="3DE64097"/>
    <w:rsid w:val="3DE67BD3"/>
    <w:rsid w:val="3DE67F19"/>
    <w:rsid w:val="3DF145BF"/>
    <w:rsid w:val="3DF35996"/>
    <w:rsid w:val="3DF478B5"/>
    <w:rsid w:val="3DF6113A"/>
    <w:rsid w:val="3DF70567"/>
    <w:rsid w:val="3DF910E4"/>
    <w:rsid w:val="3DF94BFE"/>
    <w:rsid w:val="3DFF73BD"/>
    <w:rsid w:val="3E016B6E"/>
    <w:rsid w:val="3E0328BF"/>
    <w:rsid w:val="3E0441D4"/>
    <w:rsid w:val="3E0609B6"/>
    <w:rsid w:val="3E0C66FB"/>
    <w:rsid w:val="3E0F1CFB"/>
    <w:rsid w:val="3E111D45"/>
    <w:rsid w:val="3E1565B5"/>
    <w:rsid w:val="3E162F5B"/>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6719E7"/>
    <w:rsid w:val="3E74301D"/>
    <w:rsid w:val="3E74610F"/>
    <w:rsid w:val="3E79217F"/>
    <w:rsid w:val="3E7D2494"/>
    <w:rsid w:val="3E7D7398"/>
    <w:rsid w:val="3E850395"/>
    <w:rsid w:val="3E852C85"/>
    <w:rsid w:val="3E8F5775"/>
    <w:rsid w:val="3E9100F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03B68"/>
    <w:rsid w:val="3F0815F1"/>
    <w:rsid w:val="3F0B388C"/>
    <w:rsid w:val="3F0C0BE0"/>
    <w:rsid w:val="3F0D0365"/>
    <w:rsid w:val="3F0E18F3"/>
    <w:rsid w:val="3F117991"/>
    <w:rsid w:val="3F17316C"/>
    <w:rsid w:val="3F1B0C01"/>
    <w:rsid w:val="3F210B8F"/>
    <w:rsid w:val="3F21797C"/>
    <w:rsid w:val="3F2228BB"/>
    <w:rsid w:val="3F262C3C"/>
    <w:rsid w:val="3F2B11BF"/>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6249EF"/>
    <w:rsid w:val="3F6A75F8"/>
    <w:rsid w:val="3F6D7287"/>
    <w:rsid w:val="3F6E46A4"/>
    <w:rsid w:val="3F70733E"/>
    <w:rsid w:val="3F72473B"/>
    <w:rsid w:val="3F744FC7"/>
    <w:rsid w:val="3F795109"/>
    <w:rsid w:val="3F7E608C"/>
    <w:rsid w:val="3F8434D9"/>
    <w:rsid w:val="3F853893"/>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AD68CB"/>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4723"/>
    <w:rsid w:val="4024031F"/>
    <w:rsid w:val="402769AB"/>
    <w:rsid w:val="4029301D"/>
    <w:rsid w:val="40297D18"/>
    <w:rsid w:val="402C7086"/>
    <w:rsid w:val="403403F4"/>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645970"/>
    <w:rsid w:val="406E640F"/>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A6154"/>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197446"/>
    <w:rsid w:val="411E4103"/>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10F6D"/>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56A4"/>
    <w:rsid w:val="421D7B36"/>
    <w:rsid w:val="4221530F"/>
    <w:rsid w:val="422345EF"/>
    <w:rsid w:val="42240668"/>
    <w:rsid w:val="42262DA1"/>
    <w:rsid w:val="422A1E24"/>
    <w:rsid w:val="422E486B"/>
    <w:rsid w:val="422F428A"/>
    <w:rsid w:val="42330617"/>
    <w:rsid w:val="423865E7"/>
    <w:rsid w:val="423A25B5"/>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73566"/>
    <w:rsid w:val="42890C2F"/>
    <w:rsid w:val="428B14DB"/>
    <w:rsid w:val="428B5B04"/>
    <w:rsid w:val="428C7F47"/>
    <w:rsid w:val="42924E8D"/>
    <w:rsid w:val="42967401"/>
    <w:rsid w:val="4297748A"/>
    <w:rsid w:val="429A7FE7"/>
    <w:rsid w:val="429F313B"/>
    <w:rsid w:val="42A2575F"/>
    <w:rsid w:val="42A71F5B"/>
    <w:rsid w:val="42A822A4"/>
    <w:rsid w:val="42A825EA"/>
    <w:rsid w:val="42AD55F5"/>
    <w:rsid w:val="42B0643C"/>
    <w:rsid w:val="42B302EA"/>
    <w:rsid w:val="42B3545B"/>
    <w:rsid w:val="42B450D9"/>
    <w:rsid w:val="42B54593"/>
    <w:rsid w:val="42B61338"/>
    <w:rsid w:val="42B72CB9"/>
    <w:rsid w:val="42B75E2D"/>
    <w:rsid w:val="42B90AAB"/>
    <w:rsid w:val="42C03FF4"/>
    <w:rsid w:val="42C14928"/>
    <w:rsid w:val="42C5009E"/>
    <w:rsid w:val="42C92A69"/>
    <w:rsid w:val="42D604C8"/>
    <w:rsid w:val="42D87724"/>
    <w:rsid w:val="42DF35C8"/>
    <w:rsid w:val="42E22316"/>
    <w:rsid w:val="42E242A8"/>
    <w:rsid w:val="42E36698"/>
    <w:rsid w:val="42E736DA"/>
    <w:rsid w:val="42E9081C"/>
    <w:rsid w:val="42EC2E29"/>
    <w:rsid w:val="42ED2458"/>
    <w:rsid w:val="42EF0CCD"/>
    <w:rsid w:val="42EF5810"/>
    <w:rsid w:val="42F1490F"/>
    <w:rsid w:val="42F25520"/>
    <w:rsid w:val="42F81BD3"/>
    <w:rsid w:val="42FA52E0"/>
    <w:rsid w:val="42FD559C"/>
    <w:rsid w:val="430B23FA"/>
    <w:rsid w:val="430D040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907EF"/>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31028"/>
    <w:rsid w:val="4406238A"/>
    <w:rsid w:val="440A5B01"/>
    <w:rsid w:val="440F71F0"/>
    <w:rsid w:val="441003F3"/>
    <w:rsid w:val="441369C8"/>
    <w:rsid w:val="44165D48"/>
    <w:rsid w:val="44186EAF"/>
    <w:rsid w:val="44192149"/>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07B05"/>
    <w:rsid w:val="44433CF5"/>
    <w:rsid w:val="44465D22"/>
    <w:rsid w:val="44490D9B"/>
    <w:rsid w:val="444A4A07"/>
    <w:rsid w:val="44570940"/>
    <w:rsid w:val="44574B2B"/>
    <w:rsid w:val="44597AA8"/>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50669"/>
    <w:rsid w:val="44E961E2"/>
    <w:rsid w:val="44EB164C"/>
    <w:rsid w:val="44F4601C"/>
    <w:rsid w:val="44F74C0C"/>
    <w:rsid w:val="44F90A00"/>
    <w:rsid w:val="44F91A02"/>
    <w:rsid w:val="44FB2595"/>
    <w:rsid w:val="44FE37D1"/>
    <w:rsid w:val="44FF0CD5"/>
    <w:rsid w:val="45062988"/>
    <w:rsid w:val="450655DE"/>
    <w:rsid w:val="45080466"/>
    <w:rsid w:val="450A4F92"/>
    <w:rsid w:val="450B01C8"/>
    <w:rsid w:val="4515786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D2E19"/>
    <w:rsid w:val="453F7618"/>
    <w:rsid w:val="4541568B"/>
    <w:rsid w:val="4541604F"/>
    <w:rsid w:val="45423191"/>
    <w:rsid w:val="454962E5"/>
    <w:rsid w:val="454D0A90"/>
    <w:rsid w:val="45500C3F"/>
    <w:rsid w:val="455456DA"/>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60E91"/>
    <w:rsid w:val="45C7443F"/>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83117"/>
    <w:rsid w:val="462A26F1"/>
    <w:rsid w:val="462A5404"/>
    <w:rsid w:val="46330A6C"/>
    <w:rsid w:val="46353B16"/>
    <w:rsid w:val="46367AAC"/>
    <w:rsid w:val="46370057"/>
    <w:rsid w:val="463B1BA0"/>
    <w:rsid w:val="463B2ADE"/>
    <w:rsid w:val="46442C2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75545"/>
    <w:rsid w:val="46AB3E47"/>
    <w:rsid w:val="46AD5953"/>
    <w:rsid w:val="46AD62DE"/>
    <w:rsid w:val="46AE35B9"/>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5A23"/>
    <w:rsid w:val="46E06AAD"/>
    <w:rsid w:val="46E10088"/>
    <w:rsid w:val="46E42B8B"/>
    <w:rsid w:val="46E8617B"/>
    <w:rsid w:val="46EA398E"/>
    <w:rsid w:val="46F14E1C"/>
    <w:rsid w:val="46F273D7"/>
    <w:rsid w:val="46F35069"/>
    <w:rsid w:val="46F431B3"/>
    <w:rsid w:val="46F46934"/>
    <w:rsid w:val="46F602AC"/>
    <w:rsid w:val="46F7125D"/>
    <w:rsid w:val="46FD6193"/>
    <w:rsid w:val="47055E0C"/>
    <w:rsid w:val="470614FC"/>
    <w:rsid w:val="470775F3"/>
    <w:rsid w:val="47091A3A"/>
    <w:rsid w:val="47094574"/>
    <w:rsid w:val="470A39CA"/>
    <w:rsid w:val="470B2DC9"/>
    <w:rsid w:val="470B390C"/>
    <w:rsid w:val="470C108A"/>
    <w:rsid w:val="4712385D"/>
    <w:rsid w:val="47143B5A"/>
    <w:rsid w:val="471B736C"/>
    <w:rsid w:val="47215B1D"/>
    <w:rsid w:val="47235B2C"/>
    <w:rsid w:val="472748E0"/>
    <w:rsid w:val="47274DE5"/>
    <w:rsid w:val="472D0460"/>
    <w:rsid w:val="472D411F"/>
    <w:rsid w:val="472E2DEC"/>
    <w:rsid w:val="473026ED"/>
    <w:rsid w:val="47324C7B"/>
    <w:rsid w:val="47340CE9"/>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91159"/>
    <w:rsid w:val="476A559E"/>
    <w:rsid w:val="476E63C6"/>
    <w:rsid w:val="47701E1E"/>
    <w:rsid w:val="47743C51"/>
    <w:rsid w:val="47760FEE"/>
    <w:rsid w:val="47762B20"/>
    <w:rsid w:val="47766D56"/>
    <w:rsid w:val="477954DD"/>
    <w:rsid w:val="477B7861"/>
    <w:rsid w:val="4780109B"/>
    <w:rsid w:val="478349BA"/>
    <w:rsid w:val="47841F84"/>
    <w:rsid w:val="478D02EE"/>
    <w:rsid w:val="478F2C52"/>
    <w:rsid w:val="47913274"/>
    <w:rsid w:val="479333F5"/>
    <w:rsid w:val="479453B5"/>
    <w:rsid w:val="47974EBF"/>
    <w:rsid w:val="479B37FB"/>
    <w:rsid w:val="479C0703"/>
    <w:rsid w:val="47A07EF9"/>
    <w:rsid w:val="47A25784"/>
    <w:rsid w:val="47A62310"/>
    <w:rsid w:val="47AA41FD"/>
    <w:rsid w:val="47AC7C90"/>
    <w:rsid w:val="47AE368F"/>
    <w:rsid w:val="47AE3E9C"/>
    <w:rsid w:val="47BD7E3A"/>
    <w:rsid w:val="47C77300"/>
    <w:rsid w:val="47D03D38"/>
    <w:rsid w:val="47D72108"/>
    <w:rsid w:val="47D735E8"/>
    <w:rsid w:val="47D73DD3"/>
    <w:rsid w:val="47D754ED"/>
    <w:rsid w:val="47D968A0"/>
    <w:rsid w:val="47DA546C"/>
    <w:rsid w:val="47DB10FF"/>
    <w:rsid w:val="47DC0A82"/>
    <w:rsid w:val="47DC5693"/>
    <w:rsid w:val="47E05908"/>
    <w:rsid w:val="47E6279E"/>
    <w:rsid w:val="47E63FE1"/>
    <w:rsid w:val="47E71B8A"/>
    <w:rsid w:val="47E72B65"/>
    <w:rsid w:val="47E73175"/>
    <w:rsid w:val="47E73DED"/>
    <w:rsid w:val="47E94F01"/>
    <w:rsid w:val="47F469EF"/>
    <w:rsid w:val="47F90017"/>
    <w:rsid w:val="47FE498C"/>
    <w:rsid w:val="47FF24E4"/>
    <w:rsid w:val="47FF743A"/>
    <w:rsid w:val="48003281"/>
    <w:rsid w:val="4802418F"/>
    <w:rsid w:val="480E23F1"/>
    <w:rsid w:val="481254AA"/>
    <w:rsid w:val="48126E12"/>
    <w:rsid w:val="48135341"/>
    <w:rsid w:val="48147DE1"/>
    <w:rsid w:val="4818087E"/>
    <w:rsid w:val="481967BC"/>
    <w:rsid w:val="48197F67"/>
    <w:rsid w:val="481D0901"/>
    <w:rsid w:val="481E2997"/>
    <w:rsid w:val="481E4905"/>
    <w:rsid w:val="48217A95"/>
    <w:rsid w:val="4822244F"/>
    <w:rsid w:val="48251E66"/>
    <w:rsid w:val="482A6776"/>
    <w:rsid w:val="482C496F"/>
    <w:rsid w:val="48303484"/>
    <w:rsid w:val="4834135F"/>
    <w:rsid w:val="48346940"/>
    <w:rsid w:val="48377CE3"/>
    <w:rsid w:val="48393F25"/>
    <w:rsid w:val="483E3DD0"/>
    <w:rsid w:val="48400252"/>
    <w:rsid w:val="48427A4D"/>
    <w:rsid w:val="48446F23"/>
    <w:rsid w:val="484E0854"/>
    <w:rsid w:val="48517833"/>
    <w:rsid w:val="48535901"/>
    <w:rsid w:val="48542AD8"/>
    <w:rsid w:val="48576F86"/>
    <w:rsid w:val="485B7A09"/>
    <w:rsid w:val="48601F1B"/>
    <w:rsid w:val="4860234E"/>
    <w:rsid w:val="48615B6E"/>
    <w:rsid w:val="48635DDB"/>
    <w:rsid w:val="486457B8"/>
    <w:rsid w:val="486C2522"/>
    <w:rsid w:val="486F23BB"/>
    <w:rsid w:val="486F725D"/>
    <w:rsid w:val="4872228E"/>
    <w:rsid w:val="48727E06"/>
    <w:rsid w:val="48761D32"/>
    <w:rsid w:val="48880174"/>
    <w:rsid w:val="488811AB"/>
    <w:rsid w:val="488F67AB"/>
    <w:rsid w:val="48915121"/>
    <w:rsid w:val="48946E42"/>
    <w:rsid w:val="48963808"/>
    <w:rsid w:val="48983085"/>
    <w:rsid w:val="489A2DBE"/>
    <w:rsid w:val="489D4DCE"/>
    <w:rsid w:val="489E0A6C"/>
    <w:rsid w:val="48A260BC"/>
    <w:rsid w:val="48A330F7"/>
    <w:rsid w:val="48A5260C"/>
    <w:rsid w:val="48A6395B"/>
    <w:rsid w:val="48A74E36"/>
    <w:rsid w:val="48AD2CB1"/>
    <w:rsid w:val="48AD72C6"/>
    <w:rsid w:val="48AF3B8C"/>
    <w:rsid w:val="48B157CB"/>
    <w:rsid w:val="48B3188D"/>
    <w:rsid w:val="48B92E68"/>
    <w:rsid w:val="48BE1954"/>
    <w:rsid w:val="48C75FB9"/>
    <w:rsid w:val="48C8522F"/>
    <w:rsid w:val="48CB6C5A"/>
    <w:rsid w:val="48D06C71"/>
    <w:rsid w:val="48D23681"/>
    <w:rsid w:val="48D42FCC"/>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070D6"/>
    <w:rsid w:val="49260120"/>
    <w:rsid w:val="4927154D"/>
    <w:rsid w:val="492B3A51"/>
    <w:rsid w:val="4934122F"/>
    <w:rsid w:val="493565CC"/>
    <w:rsid w:val="49390A94"/>
    <w:rsid w:val="493D13E1"/>
    <w:rsid w:val="493D4031"/>
    <w:rsid w:val="49442B61"/>
    <w:rsid w:val="49445090"/>
    <w:rsid w:val="49465877"/>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58C4"/>
    <w:rsid w:val="496B472D"/>
    <w:rsid w:val="496F6C3C"/>
    <w:rsid w:val="49704B16"/>
    <w:rsid w:val="49733329"/>
    <w:rsid w:val="497C4012"/>
    <w:rsid w:val="49801BB7"/>
    <w:rsid w:val="49806636"/>
    <w:rsid w:val="49822362"/>
    <w:rsid w:val="49831A30"/>
    <w:rsid w:val="498450C2"/>
    <w:rsid w:val="498574FA"/>
    <w:rsid w:val="49870CB8"/>
    <w:rsid w:val="49871D7B"/>
    <w:rsid w:val="4988097A"/>
    <w:rsid w:val="498A1EB9"/>
    <w:rsid w:val="498E7D73"/>
    <w:rsid w:val="499123DA"/>
    <w:rsid w:val="499531E3"/>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730"/>
    <w:rsid w:val="4A1E5AFF"/>
    <w:rsid w:val="4A2070E3"/>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5E737E"/>
    <w:rsid w:val="4A6159C0"/>
    <w:rsid w:val="4A631F98"/>
    <w:rsid w:val="4A6579CD"/>
    <w:rsid w:val="4A672F5C"/>
    <w:rsid w:val="4A6B6B3E"/>
    <w:rsid w:val="4A6C083F"/>
    <w:rsid w:val="4A724018"/>
    <w:rsid w:val="4A726BD6"/>
    <w:rsid w:val="4A7417EC"/>
    <w:rsid w:val="4A74295B"/>
    <w:rsid w:val="4A755FA4"/>
    <w:rsid w:val="4A756D0D"/>
    <w:rsid w:val="4A775D75"/>
    <w:rsid w:val="4A7B6771"/>
    <w:rsid w:val="4A7C187A"/>
    <w:rsid w:val="4A7F6FEC"/>
    <w:rsid w:val="4A8369E6"/>
    <w:rsid w:val="4A853B44"/>
    <w:rsid w:val="4A89373F"/>
    <w:rsid w:val="4A8D167D"/>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308B1"/>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243CD"/>
    <w:rsid w:val="4AE7693E"/>
    <w:rsid w:val="4AE964A0"/>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C4BDE"/>
    <w:rsid w:val="4B2C6873"/>
    <w:rsid w:val="4B3529AA"/>
    <w:rsid w:val="4B3C403E"/>
    <w:rsid w:val="4B3D64CE"/>
    <w:rsid w:val="4B417217"/>
    <w:rsid w:val="4B426FC8"/>
    <w:rsid w:val="4B4A1E20"/>
    <w:rsid w:val="4B4B77CC"/>
    <w:rsid w:val="4B4D5FF1"/>
    <w:rsid w:val="4B4F2FCA"/>
    <w:rsid w:val="4B4F3F08"/>
    <w:rsid w:val="4B585189"/>
    <w:rsid w:val="4B594B62"/>
    <w:rsid w:val="4B595225"/>
    <w:rsid w:val="4B5B261F"/>
    <w:rsid w:val="4B6305EB"/>
    <w:rsid w:val="4B643275"/>
    <w:rsid w:val="4B687FD4"/>
    <w:rsid w:val="4B741C5B"/>
    <w:rsid w:val="4B7831B7"/>
    <w:rsid w:val="4B811257"/>
    <w:rsid w:val="4B816D3B"/>
    <w:rsid w:val="4B821B36"/>
    <w:rsid w:val="4B827CCC"/>
    <w:rsid w:val="4B83233B"/>
    <w:rsid w:val="4B8A674C"/>
    <w:rsid w:val="4B8F2EB1"/>
    <w:rsid w:val="4B924EC9"/>
    <w:rsid w:val="4B9419F7"/>
    <w:rsid w:val="4B9470E1"/>
    <w:rsid w:val="4B985B74"/>
    <w:rsid w:val="4B9B0E7F"/>
    <w:rsid w:val="4B9E2880"/>
    <w:rsid w:val="4BA14908"/>
    <w:rsid w:val="4BA96810"/>
    <w:rsid w:val="4BAC02EC"/>
    <w:rsid w:val="4BAD645F"/>
    <w:rsid w:val="4BAF24E2"/>
    <w:rsid w:val="4BAF7626"/>
    <w:rsid w:val="4BB66C57"/>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52D37"/>
    <w:rsid w:val="4C366339"/>
    <w:rsid w:val="4C3C71D0"/>
    <w:rsid w:val="4C414B8D"/>
    <w:rsid w:val="4C4416FF"/>
    <w:rsid w:val="4C443324"/>
    <w:rsid w:val="4C453AD5"/>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17563"/>
    <w:rsid w:val="4C922679"/>
    <w:rsid w:val="4C92692A"/>
    <w:rsid w:val="4C95633A"/>
    <w:rsid w:val="4C9A62D2"/>
    <w:rsid w:val="4C9B3D8F"/>
    <w:rsid w:val="4C9D4E3B"/>
    <w:rsid w:val="4CA5226F"/>
    <w:rsid w:val="4CA777A5"/>
    <w:rsid w:val="4CAA28BF"/>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EF2159"/>
    <w:rsid w:val="4CF21274"/>
    <w:rsid w:val="4CF24A2D"/>
    <w:rsid w:val="4CFF26AB"/>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36DE7"/>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5E652A"/>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31B21"/>
    <w:rsid w:val="4D947DEA"/>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25167"/>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D1F26"/>
    <w:rsid w:val="4E7F10F7"/>
    <w:rsid w:val="4E833A1C"/>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6021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1F07A5"/>
    <w:rsid w:val="4F222296"/>
    <w:rsid w:val="4F232152"/>
    <w:rsid w:val="4F247513"/>
    <w:rsid w:val="4F256656"/>
    <w:rsid w:val="4F256AC6"/>
    <w:rsid w:val="4F2F25C7"/>
    <w:rsid w:val="4F312150"/>
    <w:rsid w:val="4F333DDA"/>
    <w:rsid w:val="4F363754"/>
    <w:rsid w:val="4F394923"/>
    <w:rsid w:val="4F3B3972"/>
    <w:rsid w:val="4F3B5033"/>
    <w:rsid w:val="4F40472E"/>
    <w:rsid w:val="4F4078EF"/>
    <w:rsid w:val="4F4331DE"/>
    <w:rsid w:val="4F4373C1"/>
    <w:rsid w:val="4F442E00"/>
    <w:rsid w:val="4F465945"/>
    <w:rsid w:val="4F4B0DFD"/>
    <w:rsid w:val="4F4B1F01"/>
    <w:rsid w:val="4F4B3C13"/>
    <w:rsid w:val="4F4D5DDB"/>
    <w:rsid w:val="4F4D7D3A"/>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3213"/>
    <w:rsid w:val="4F970612"/>
    <w:rsid w:val="4F976963"/>
    <w:rsid w:val="4F9900E8"/>
    <w:rsid w:val="4F9E0B48"/>
    <w:rsid w:val="4FA057FA"/>
    <w:rsid w:val="4FA33F3F"/>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B5688"/>
    <w:rsid w:val="4FDC67FA"/>
    <w:rsid w:val="4FE465F0"/>
    <w:rsid w:val="4FE47BFB"/>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C5951"/>
    <w:rsid w:val="501E1C31"/>
    <w:rsid w:val="5021442D"/>
    <w:rsid w:val="502226B7"/>
    <w:rsid w:val="5034215C"/>
    <w:rsid w:val="50344279"/>
    <w:rsid w:val="503A6544"/>
    <w:rsid w:val="503C53AC"/>
    <w:rsid w:val="503D4393"/>
    <w:rsid w:val="503D5057"/>
    <w:rsid w:val="504003EC"/>
    <w:rsid w:val="5046799C"/>
    <w:rsid w:val="504B0A65"/>
    <w:rsid w:val="504D1AAD"/>
    <w:rsid w:val="504E0E9E"/>
    <w:rsid w:val="504F5613"/>
    <w:rsid w:val="5050196C"/>
    <w:rsid w:val="50535CB7"/>
    <w:rsid w:val="505679EA"/>
    <w:rsid w:val="505A0AD4"/>
    <w:rsid w:val="505A42A1"/>
    <w:rsid w:val="505B684C"/>
    <w:rsid w:val="50656BA3"/>
    <w:rsid w:val="506D3EC5"/>
    <w:rsid w:val="50715A85"/>
    <w:rsid w:val="50734618"/>
    <w:rsid w:val="5073496F"/>
    <w:rsid w:val="507D0723"/>
    <w:rsid w:val="50821FA8"/>
    <w:rsid w:val="50825850"/>
    <w:rsid w:val="5083437F"/>
    <w:rsid w:val="50892381"/>
    <w:rsid w:val="508E78AC"/>
    <w:rsid w:val="50950349"/>
    <w:rsid w:val="50984F82"/>
    <w:rsid w:val="509B0639"/>
    <w:rsid w:val="50A025CE"/>
    <w:rsid w:val="50A20EE3"/>
    <w:rsid w:val="50A37037"/>
    <w:rsid w:val="50AC70CB"/>
    <w:rsid w:val="50AD52AF"/>
    <w:rsid w:val="50B502A3"/>
    <w:rsid w:val="50B66209"/>
    <w:rsid w:val="50B91558"/>
    <w:rsid w:val="50BB34BB"/>
    <w:rsid w:val="50BD6833"/>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9015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81722"/>
    <w:rsid w:val="512951C3"/>
    <w:rsid w:val="51295D03"/>
    <w:rsid w:val="512A3D52"/>
    <w:rsid w:val="512F2FAD"/>
    <w:rsid w:val="51322FBA"/>
    <w:rsid w:val="51353C5E"/>
    <w:rsid w:val="513849B0"/>
    <w:rsid w:val="51393A83"/>
    <w:rsid w:val="513B3DF9"/>
    <w:rsid w:val="513C658B"/>
    <w:rsid w:val="513F4B97"/>
    <w:rsid w:val="51401B57"/>
    <w:rsid w:val="51441568"/>
    <w:rsid w:val="5145236D"/>
    <w:rsid w:val="5146794E"/>
    <w:rsid w:val="51480A97"/>
    <w:rsid w:val="514A03E9"/>
    <w:rsid w:val="514E3CC7"/>
    <w:rsid w:val="515278BC"/>
    <w:rsid w:val="515842D5"/>
    <w:rsid w:val="515934C1"/>
    <w:rsid w:val="51626D85"/>
    <w:rsid w:val="51627F0D"/>
    <w:rsid w:val="516A2851"/>
    <w:rsid w:val="516E206D"/>
    <w:rsid w:val="51741E6C"/>
    <w:rsid w:val="51756972"/>
    <w:rsid w:val="517A63F0"/>
    <w:rsid w:val="517B7342"/>
    <w:rsid w:val="517D32BC"/>
    <w:rsid w:val="517E1E1F"/>
    <w:rsid w:val="51813564"/>
    <w:rsid w:val="51841E7F"/>
    <w:rsid w:val="51844B36"/>
    <w:rsid w:val="518A030E"/>
    <w:rsid w:val="518B1B6A"/>
    <w:rsid w:val="518B739B"/>
    <w:rsid w:val="518D6560"/>
    <w:rsid w:val="519152EA"/>
    <w:rsid w:val="519236ED"/>
    <w:rsid w:val="519410BA"/>
    <w:rsid w:val="519523A8"/>
    <w:rsid w:val="51965D8A"/>
    <w:rsid w:val="519E7457"/>
    <w:rsid w:val="519F1F6B"/>
    <w:rsid w:val="51A00807"/>
    <w:rsid w:val="51A05A23"/>
    <w:rsid w:val="51AB65B4"/>
    <w:rsid w:val="51AE2C65"/>
    <w:rsid w:val="51B11B29"/>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91347"/>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4C724D"/>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0A7885"/>
    <w:rsid w:val="530D0B7D"/>
    <w:rsid w:val="53172A50"/>
    <w:rsid w:val="531A397A"/>
    <w:rsid w:val="531A546B"/>
    <w:rsid w:val="531B0D04"/>
    <w:rsid w:val="531C1B2E"/>
    <w:rsid w:val="532225EA"/>
    <w:rsid w:val="532274CE"/>
    <w:rsid w:val="53240747"/>
    <w:rsid w:val="532522FD"/>
    <w:rsid w:val="53275C7D"/>
    <w:rsid w:val="53293900"/>
    <w:rsid w:val="532D3BA5"/>
    <w:rsid w:val="53311BF2"/>
    <w:rsid w:val="53367038"/>
    <w:rsid w:val="533E5455"/>
    <w:rsid w:val="534531B7"/>
    <w:rsid w:val="53456AB3"/>
    <w:rsid w:val="534718C6"/>
    <w:rsid w:val="53496F02"/>
    <w:rsid w:val="534A232F"/>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52D57"/>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61D27"/>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C6CC0"/>
    <w:rsid w:val="53ED6649"/>
    <w:rsid w:val="53EE7A96"/>
    <w:rsid w:val="53F31E80"/>
    <w:rsid w:val="53F766D2"/>
    <w:rsid w:val="53F972C7"/>
    <w:rsid w:val="53FC6CB5"/>
    <w:rsid w:val="53FF07F2"/>
    <w:rsid w:val="53FF15B3"/>
    <w:rsid w:val="540053E9"/>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978AE"/>
    <w:rsid w:val="543C5229"/>
    <w:rsid w:val="54406295"/>
    <w:rsid w:val="54412BF0"/>
    <w:rsid w:val="54412D02"/>
    <w:rsid w:val="54422EDA"/>
    <w:rsid w:val="544417C9"/>
    <w:rsid w:val="54475EA1"/>
    <w:rsid w:val="54514458"/>
    <w:rsid w:val="54564266"/>
    <w:rsid w:val="545B1FA2"/>
    <w:rsid w:val="545C2441"/>
    <w:rsid w:val="545D03A3"/>
    <w:rsid w:val="545F158C"/>
    <w:rsid w:val="5460480E"/>
    <w:rsid w:val="54682008"/>
    <w:rsid w:val="546A78D3"/>
    <w:rsid w:val="546C3784"/>
    <w:rsid w:val="54754A6A"/>
    <w:rsid w:val="54763D33"/>
    <w:rsid w:val="54767E31"/>
    <w:rsid w:val="54781903"/>
    <w:rsid w:val="547F2B1F"/>
    <w:rsid w:val="54873CA0"/>
    <w:rsid w:val="54874A52"/>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50B9C"/>
    <w:rsid w:val="54C6714A"/>
    <w:rsid w:val="54C76ED6"/>
    <w:rsid w:val="54CA3C93"/>
    <w:rsid w:val="54CD0707"/>
    <w:rsid w:val="54D00FCE"/>
    <w:rsid w:val="54D06EFF"/>
    <w:rsid w:val="54D131E7"/>
    <w:rsid w:val="54D43A08"/>
    <w:rsid w:val="54D51870"/>
    <w:rsid w:val="54D929BD"/>
    <w:rsid w:val="54DA6B6A"/>
    <w:rsid w:val="54DF40D5"/>
    <w:rsid w:val="54E06C11"/>
    <w:rsid w:val="54E17CA8"/>
    <w:rsid w:val="54E21F4F"/>
    <w:rsid w:val="54E22A7D"/>
    <w:rsid w:val="54E57F3E"/>
    <w:rsid w:val="54E74D81"/>
    <w:rsid w:val="54E925A9"/>
    <w:rsid w:val="54E95BA4"/>
    <w:rsid w:val="54FA25E8"/>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63AF4"/>
    <w:rsid w:val="554A7882"/>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A83C17"/>
    <w:rsid w:val="55A86FBD"/>
    <w:rsid w:val="55AC5CDA"/>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37805"/>
    <w:rsid w:val="55F75CA6"/>
    <w:rsid w:val="55F8394B"/>
    <w:rsid w:val="55F84691"/>
    <w:rsid w:val="55F96FFC"/>
    <w:rsid w:val="55FC0227"/>
    <w:rsid w:val="55FC1DF1"/>
    <w:rsid w:val="55FD5512"/>
    <w:rsid w:val="55FD6C2D"/>
    <w:rsid w:val="55FE7359"/>
    <w:rsid w:val="56012FC1"/>
    <w:rsid w:val="5602472C"/>
    <w:rsid w:val="560B1611"/>
    <w:rsid w:val="5611754A"/>
    <w:rsid w:val="56175B71"/>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040D3"/>
    <w:rsid w:val="564956BB"/>
    <w:rsid w:val="5649734E"/>
    <w:rsid w:val="564E3688"/>
    <w:rsid w:val="56514294"/>
    <w:rsid w:val="5654476A"/>
    <w:rsid w:val="565716EB"/>
    <w:rsid w:val="565767DB"/>
    <w:rsid w:val="56581695"/>
    <w:rsid w:val="565D18A2"/>
    <w:rsid w:val="566355DD"/>
    <w:rsid w:val="5665198B"/>
    <w:rsid w:val="56662DA4"/>
    <w:rsid w:val="56680BC9"/>
    <w:rsid w:val="566926ED"/>
    <w:rsid w:val="567043C4"/>
    <w:rsid w:val="56710EA4"/>
    <w:rsid w:val="567119B3"/>
    <w:rsid w:val="56712DE1"/>
    <w:rsid w:val="56727839"/>
    <w:rsid w:val="567F4D05"/>
    <w:rsid w:val="56801A4D"/>
    <w:rsid w:val="568250EA"/>
    <w:rsid w:val="56837A86"/>
    <w:rsid w:val="56855A57"/>
    <w:rsid w:val="568A756D"/>
    <w:rsid w:val="568F339B"/>
    <w:rsid w:val="568F72CF"/>
    <w:rsid w:val="56930F2C"/>
    <w:rsid w:val="56932515"/>
    <w:rsid w:val="56943F7F"/>
    <w:rsid w:val="56975B2C"/>
    <w:rsid w:val="56975DFF"/>
    <w:rsid w:val="569C7055"/>
    <w:rsid w:val="569D0F61"/>
    <w:rsid w:val="569D2690"/>
    <w:rsid w:val="56A110CA"/>
    <w:rsid w:val="56A64E42"/>
    <w:rsid w:val="56A84128"/>
    <w:rsid w:val="56AC31BC"/>
    <w:rsid w:val="56AD1468"/>
    <w:rsid w:val="56B20B45"/>
    <w:rsid w:val="56B2689B"/>
    <w:rsid w:val="56B635AB"/>
    <w:rsid w:val="56B87954"/>
    <w:rsid w:val="56BA59A8"/>
    <w:rsid w:val="56BB18CA"/>
    <w:rsid w:val="56BE22AD"/>
    <w:rsid w:val="56BF1F76"/>
    <w:rsid w:val="56C0283E"/>
    <w:rsid w:val="56C05533"/>
    <w:rsid w:val="56C61BEC"/>
    <w:rsid w:val="56D418EA"/>
    <w:rsid w:val="56D43345"/>
    <w:rsid w:val="56D570ED"/>
    <w:rsid w:val="56E358E7"/>
    <w:rsid w:val="56E365E9"/>
    <w:rsid w:val="56E73DD6"/>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5163DC"/>
    <w:rsid w:val="57564B03"/>
    <w:rsid w:val="57570D48"/>
    <w:rsid w:val="57570EC4"/>
    <w:rsid w:val="57576764"/>
    <w:rsid w:val="57592024"/>
    <w:rsid w:val="57592D20"/>
    <w:rsid w:val="575D1406"/>
    <w:rsid w:val="575D7DC0"/>
    <w:rsid w:val="575F724B"/>
    <w:rsid w:val="57646E8D"/>
    <w:rsid w:val="57647D03"/>
    <w:rsid w:val="57663149"/>
    <w:rsid w:val="576631A4"/>
    <w:rsid w:val="576A30DA"/>
    <w:rsid w:val="576E2006"/>
    <w:rsid w:val="576E7D00"/>
    <w:rsid w:val="57714C0A"/>
    <w:rsid w:val="57723BA0"/>
    <w:rsid w:val="57725A92"/>
    <w:rsid w:val="577269D1"/>
    <w:rsid w:val="57784EBE"/>
    <w:rsid w:val="577C7F69"/>
    <w:rsid w:val="577D2D1B"/>
    <w:rsid w:val="578474C5"/>
    <w:rsid w:val="578474D7"/>
    <w:rsid w:val="57883154"/>
    <w:rsid w:val="578F659F"/>
    <w:rsid w:val="57904A51"/>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1C6787"/>
    <w:rsid w:val="582073DC"/>
    <w:rsid w:val="582258D4"/>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77099"/>
    <w:rsid w:val="58586901"/>
    <w:rsid w:val="586250A0"/>
    <w:rsid w:val="58650C5B"/>
    <w:rsid w:val="5868260B"/>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01F0"/>
    <w:rsid w:val="58A011FE"/>
    <w:rsid w:val="58A14EB1"/>
    <w:rsid w:val="58A1709A"/>
    <w:rsid w:val="58A7270C"/>
    <w:rsid w:val="58AB17F1"/>
    <w:rsid w:val="58AE6214"/>
    <w:rsid w:val="58AE6379"/>
    <w:rsid w:val="58B03B1D"/>
    <w:rsid w:val="58B15082"/>
    <w:rsid w:val="58B35066"/>
    <w:rsid w:val="58B74DA2"/>
    <w:rsid w:val="58BB2D74"/>
    <w:rsid w:val="58BC532E"/>
    <w:rsid w:val="58BC78F5"/>
    <w:rsid w:val="58C36078"/>
    <w:rsid w:val="58C45FE0"/>
    <w:rsid w:val="58C4649C"/>
    <w:rsid w:val="58C67760"/>
    <w:rsid w:val="58C72F25"/>
    <w:rsid w:val="58C760E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0F3999"/>
    <w:rsid w:val="59110DE1"/>
    <w:rsid w:val="59141A1C"/>
    <w:rsid w:val="5914243C"/>
    <w:rsid w:val="591531CC"/>
    <w:rsid w:val="59155C2B"/>
    <w:rsid w:val="59167FCE"/>
    <w:rsid w:val="591914BD"/>
    <w:rsid w:val="591918E5"/>
    <w:rsid w:val="5919231D"/>
    <w:rsid w:val="591B200C"/>
    <w:rsid w:val="591B3D0B"/>
    <w:rsid w:val="591D26B7"/>
    <w:rsid w:val="592171CD"/>
    <w:rsid w:val="592A4996"/>
    <w:rsid w:val="592A53F3"/>
    <w:rsid w:val="592A64DD"/>
    <w:rsid w:val="59367499"/>
    <w:rsid w:val="593712A6"/>
    <w:rsid w:val="59376AEA"/>
    <w:rsid w:val="59384413"/>
    <w:rsid w:val="59391116"/>
    <w:rsid w:val="593A5D4C"/>
    <w:rsid w:val="593B5476"/>
    <w:rsid w:val="593C155F"/>
    <w:rsid w:val="593E5CCE"/>
    <w:rsid w:val="594065A5"/>
    <w:rsid w:val="59407EC1"/>
    <w:rsid w:val="59433527"/>
    <w:rsid w:val="59451BF5"/>
    <w:rsid w:val="59494275"/>
    <w:rsid w:val="594D51C2"/>
    <w:rsid w:val="595504CA"/>
    <w:rsid w:val="595719C7"/>
    <w:rsid w:val="595D7276"/>
    <w:rsid w:val="59607CB3"/>
    <w:rsid w:val="59643A9B"/>
    <w:rsid w:val="59650358"/>
    <w:rsid w:val="59674983"/>
    <w:rsid w:val="596919E9"/>
    <w:rsid w:val="59695EEC"/>
    <w:rsid w:val="596C3303"/>
    <w:rsid w:val="596D487C"/>
    <w:rsid w:val="596F365B"/>
    <w:rsid w:val="59712E2D"/>
    <w:rsid w:val="597556DD"/>
    <w:rsid w:val="597A22E5"/>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7262D"/>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C5C6D"/>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50846"/>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D7A0B"/>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46961"/>
    <w:rsid w:val="5B5643BB"/>
    <w:rsid w:val="5B576288"/>
    <w:rsid w:val="5B595136"/>
    <w:rsid w:val="5B5C32F5"/>
    <w:rsid w:val="5B5E00EF"/>
    <w:rsid w:val="5B610F09"/>
    <w:rsid w:val="5B61753C"/>
    <w:rsid w:val="5B621C06"/>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50128"/>
    <w:rsid w:val="5BC723A4"/>
    <w:rsid w:val="5BCE45F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5345D"/>
    <w:rsid w:val="5BFF68A2"/>
    <w:rsid w:val="5C010EEF"/>
    <w:rsid w:val="5C062C85"/>
    <w:rsid w:val="5C0D1FAC"/>
    <w:rsid w:val="5C0D3C7C"/>
    <w:rsid w:val="5C0F3C27"/>
    <w:rsid w:val="5C126A47"/>
    <w:rsid w:val="5C152995"/>
    <w:rsid w:val="5C162895"/>
    <w:rsid w:val="5C185F94"/>
    <w:rsid w:val="5C192189"/>
    <w:rsid w:val="5C1A0B69"/>
    <w:rsid w:val="5C1C7AB3"/>
    <w:rsid w:val="5C211B28"/>
    <w:rsid w:val="5C2446EA"/>
    <w:rsid w:val="5C2641D6"/>
    <w:rsid w:val="5C2A116B"/>
    <w:rsid w:val="5C2C51CA"/>
    <w:rsid w:val="5C2E0ABA"/>
    <w:rsid w:val="5C313602"/>
    <w:rsid w:val="5C324D96"/>
    <w:rsid w:val="5C3A18CA"/>
    <w:rsid w:val="5C3A18DF"/>
    <w:rsid w:val="5C3E73FE"/>
    <w:rsid w:val="5C4302AF"/>
    <w:rsid w:val="5C463F6A"/>
    <w:rsid w:val="5C496E06"/>
    <w:rsid w:val="5C4C6EB1"/>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7F16FD"/>
    <w:rsid w:val="5C85359B"/>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C14169"/>
    <w:rsid w:val="5CC26997"/>
    <w:rsid w:val="5CCA2082"/>
    <w:rsid w:val="5CCC6D9E"/>
    <w:rsid w:val="5CCE39C9"/>
    <w:rsid w:val="5CD228A4"/>
    <w:rsid w:val="5CD274FA"/>
    <w:rsid w:val="5CD43D55"/>
    <w:rsid w:val="5CD51A0B"/>
    <w:rsid w:val="5CD60FB2"/>
    <w:rsid w:val="5CD64B8F"/>
    <w:rsid w:val="5CD73EA1"/>
    <w:rsid w:val="5CD9009B"/>
    <w:rsid w:val="5CDD4918"/>
    <w:rsid w:val="5CE35510"/>
    <w:rsid w:val="5CE87597"/>
    <w:rsid w:val="5CEA0714"/>
    <w:rsid w:val="5CEA3937"/>
    <w:rsid w:val="5CEC5FF7"/>
    <w:rsid w:val="5CF05FF8"/>
    <w:rsid w:val="5CF245CB"/>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30D29"/>
    <w:rsid w:val="5D342ACA"/>
    <w:rsid w:val="5D3A4F24"/>
    <w:rsid w:val="5D3B7727"/>
    <w:rsid w:val="5D3C25BD"/>
    <w:rsid w:val="5D3F35DD"/>
    <w:rsid w:val="5D403759"/>
    <w:rsid w:val="5D405301"/>
    <w:rsid w:val="5D45145C"/>
    <w:rsid w:val="5D47432B"/>
    <w:rsid w:val="5D4A3B3F"/>
    <w:rsid w:val="5D4E03ED"/>
    <w:rsid w:val="5D4F405B"/>
    <w:rsid w:val="5D545032"/>
    <w:rsid w:val="5D5E5DBC"/>
    <w:rsid w:val="5D637C85"/>
    <w:rsid w:val="5D680387"/>
    <w:rsid w:val="5D6D5C66"/>
    <w:rsid w:val="5D7206A1"/>
    <w:rsid w:val="5D740B52"/>
    <w:rsid w:val="5D755F99"/>
    <w:rsid w:val="5D7656F6"/>
    <w:rsid w:val="5D780377"/>
    <w:rsid w:val="5D782CF4"/>
    <w:rsid w:val="5D7B75BA"/>
    <w:rsid w:val="5D7E3940"/>
    <w:rsid w:val="5D850140"/>
    <w:rsid w:val="5D890E69"/>
    <w:rsid w:val="5D8B6621"/>
    <w:rsid w:val="5D8C6E94"/>
    <w:rsid w:val="5D8F323A"/>
    <w:rsid w:val="5D91249B"/>
    <w:rsid w:val="5D96194B"/>
    <w:rsid w:val="5D9658FD"/>
    <w:rsid w:val="5D980180"/>
    <w:rsid w:val="5D9821F6"/>
    <w:rsid w:val="5D9B61ED"/>
    <w:rsid w:val="5DA13035"/>
    <w:rsid w:val="5DA81A7E"/>
    <w:rsid w:val="5DB017D3"/>
    <w:rsid w:val="5DB04DE9"/>
    <w:rsid w:val="5DB11BD7"/>
    <w:rsid w:val="5DB2760F"/>
    <w:rsid w:val="5DB72169"/>
    <w:rsid w:val="5DB76529"/>
    <w:rsid w:val="5DBF0827"/>
    <w:rsid w:val="5DC0151D"/>
    <w:rsid w:val="5DC37FE9"/>
    <w:rsid w:val="5DC568D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941"/>
    <w:rsid w:val="5E6E3701"/>
    <w:rsid w:val="5E734528"/>
    <w:rsid w:val="5E74323A"/>
    <w:rsid w:val="5E754C35"/>
    <w:rsid w:val="5E77494F"/>
    <w:rsid w:val="5E7B2ECF"/>
    <w:rsid w:val="5E7D29BD"/>
    <w:rsid w:val="5E8175BA"/>
    <w:rsid w:val="5E824960"/>
    <w:rsid w:val="5E863851"/>
    <w:rsid w:val="5E8B64B9"/>
    <w:rsid w:val="5E8C15B2"/>
    <w:rsid w:val="5E8E04BD"/>
    <w:rsid w:val="5E8F4B2D"/>
    <w:rsid w:val="5E923E46"/>
    <w:rsid w:val="5E93464D"/>
    <w:rsid w:val="5EA06EB3"/>
    <w:rsid w:val="5EA140CB"/>
    <w:rsid w:val="5EA56B28"/>
    <w:rsid w:val="5EA6479B"/>
    <w:rsid w:val="5EA77BA5"/>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5633C"/>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E62E0"/>
    <w:rsid w:val="5F7F59C8"/>
    <w:rsid w:val="5F833D5F"/>
    <w:rsid w:val="5F872BDD"/>
    <w:rsid w:val="5F8A1618"/>
    <w:rsid w:val="5F8F3CA6"/>
    <w:rsid w:val="5F997C2D"/>
    <w:rsid w:val="5F9A2BA6"/>
    <w:rsid w:val="5F9A3324"/>
    <w:rsid w:val="5FA2777D"/>
    <w:rsid w:val="5FA55820"/>
    <w:rsid w:val="5FA948D4"/>
    <w:rsid w:val="5FB11875"/>
    <w:rsid w:val="5FB372F0"/>
    <w:rsid w:val="5FBD61BC"/>
    <w:rsid w:val="5FBF330D"/>
    <w:rsid w:val="5FC017AD"/>
    <w:rsid w:val="5FC142EE"/>
    <w:rsid w:val="5FD763E3"/>
    <w:rsid w:val="5FD7706A"/>
    <w:rsid w:val="5FDA46C8"/>
    <w:rsid w:val="5FDB4F3D"/>
    <w:rsid w:val="5FE10819"/>
    <w:rsid w:val="5FE2375A"/>
    <w:rsid w:val="5FE30BA2"/>
    <w:rsid w:val="5FE6571C"/>
    <w:rsid w:val="5FED0719"/>
    <w:rsid w:val="5FEF04AA"/>
    <w:rsid w:val="5FF27FE4"/>
    <w:rsid w:val="5FF36493"/>
    <w:rsid w:val="5FF85070"/>
    <w:rsid w:val="5FF9333C"/>
    <w:rsid w:val="5FFB474F"/>
    <w:rsid w:val="5FFB65C6"/>
    <w:rsid w:val="60006973"/>
    <w:rsid w:val="60050D64"/>
    <w:rsid w:val="60063A1D"/>
    <w:rsid w:val="6007124A"/>
    <w:rsid w:val="6007496A"/>
    <w:rsid w:val="600870EA"/>
    <w:rsid w:val="600B4871"/>
    <w:rsid w:val="600E6633"/>
    <w:rsid w:val="600F22B3"/>
    <w:rsid w:val="6013140E"/>
    <w:rsid w:val="601A36E0"/>
    <w:rsid w:val="601B7897"/>
    <w:rsid w:val="601D2C80"/>
    <w:rsid w:val="601E28CD"/>
    <w:rsid w:val="60240ADC"/>
    <w:rsid w:val="602640DE"/>
    <w:rsid w:val="602664AC"/>
    <w:rsid w:val="60274670"/>
    <w:rsid w:val="602B2993"/>
    <w:rsid w:val="6030097E"/>
    <w:rsid w:val="603351D0"/>
    <w:rsid w:val="6033677C"/>
    <w:rsid w:val="60344C9C"/>
    <w:rsid w:val="60360B7F"/>
    <w:rsid w:val="603B0746"/>
    <w:rsid w:val="603E43E2"/>
    <w:rsid w:val="603E4442"/>
    <w:rsid w:val="603E4F2F"/>
    <w:rsid w:val="603E6EE6"/>
    <w:rsid w:val="604076F7"/>
    <w:rsid w:val="60432B5E"/>
    <w:rsid w:val="604379C5"/>
    <w:rsid w:val="60472491"/>
    <w:rsid w:val="60474783"/>
    <w:rsid w:val="60494BE8"/>
    <w:rsid w:val="605F164B"/>
    <w:rsid w:val="60682124"/>
    <w:rsid w:val="606A3E56"/>
    <w:rsid w:val="606B1CB6"/>
    <w:rsid w:val="6073189D"/>
    <w:rsid w:val="60736A2F"/>
    <w:rsid w:val="607443D2"/>
    <w:rsid w:val="607445DC"/>
    <w:rsid w:val="6075702F"/>
    <w:rsid w:val="607A48AD"/>
    <w:rsid w:val="607C742A"/>
    <w:rsid w:val="607D0570"/>
    <w:rsid w:val="607F1030"/>
    <w:rsid w:val="60800E85"/>
    <w:rsid w:val="60801EB9"/>
    <w:rsid w:val="60836310"/>
    <w:rsid w:val="608703D6"/>
    <w:rsid w:val="60884273"/>
    <w:rsid w:val="608A3E41"/>
    <w:rsid w:val="608B6649"/>
    <w:rsid w:val="60913BAC"/>
    <w:rsid w:val="609822C1"/>
    <w:rsid w:val="60990BD7"/>
    <w:rsid w:val="609D4C24"/>
    <w:rsid w:val="60A11B40"/>
    <w:rsid w:val="60A20F88"/>
    <w:rsid w:val="60A3504C"/>
    <w:rsid w:val="60AB2669"/>
    <w:rsid w:val="60AD2D3C"/>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A059C"/>
    <w:rsid w:val="612C5770"/>
    <w:rsid w:val="612D25D8"/>
    <w:rsid w:val="61360AC0"/>
    <w:rsid w:val="613A74B9"/>
    <w:rsid w:val="613C1C4E"/>
    <w:rsid w:val="613C418D"/>
    <w:rsid w:val="613F585A"/>
    <w:rsid w:val="6147048D"/>
    <w:rsid w:val="61487CA7"/>
    <w:rsid w:val="614A39D3"/>
    <w:rsid w:val="614D3232"/>
    <w:rsid w:val="614F005B"/>
    <w:rsid w:val="61547574"/>
    <w:rsid w:val="615643FF"/>
    <w:rsid w:val="615D7476"/>
    <w:rsid w:val="615F7EE9"/>
    <w:rsid w:val="61612929"/>
    <w:rsid w:val="61643743"/>
    <w:rsid w:val="616A5B5D"/>
    <w:rsid w:val="616E1D6F"/>
    <w:rsid w:val="61725159"/>
    <w:rsid w:val="61731D66"/>
    <w:rsid w:val="61747347"/>
    <w:rsid w:val="617C37F4"/>
    <w:rsid w:val="617E6243"/>
    <w:rsid w:val="61843430"/>
    <w:rsid w:val="61877D0B"/>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C940FB"/>
    <w:rsid w:val="61D034C4"/>
    <w:rsid w:val="61D8293B"/>
    <w:rsid w:val="61D9091A"/>
    <w:rsid w:val="61DC14D5"/>
    <w:rsid w:val="61E03C84"/>
    <w:rsid w:val="61E069EE"/>
    <w:rsid w:val="61E363D8"/>
    <w:rsid w:val="61E43009"/>
    <w:rsid w:val="61E83ED6"/>
    <w:rsid w:val="61EC6B91"/>
    <w:rsid w:val="61F21FD2"/>
    <w:rsid w:val="61FD3DC4"/>
    <w:rsid w:val="61FE5844"/>
    <w:rsid w:val="62004DE6"/>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E7508"/>
    <w:rsid w:val="62515B94"/>
    <w:rsid w:val="62562017"/>
    <w:rsid w:val="62567309"/>
    <w:rsid w:val="62570F9F"/>
    <w:rsid w:val="6257242E"/>
    <w:rsid w:val="62580196"/>
    <w:rsid w:val="62587119"/>
    <w:rsid w:val="625E4138"/>
    <w:rsid w:val="6263351F"/>
    <w:rsid w:val="62633B17"/>
    <w:rsid w:val="626930E5"/>
    <w:rsid w:val="626E1485"/>
    <w:rsid w:val="627077FA"/>
    <w:rsid w:val="6277179C"/>
    <w:rsid w:val="627953D3"/>
    <w:rsid w:val="627C6561"/>
    <w:rsid w:val="627C6AF2"/>
    <w:rsid w:val="627D238E"/>
    <w:rsid w:val="6281149E"/>
    <w:rsid w:val="62814AC5"/>
    <w:rsid w:val="62824AF9"/>
    <w:rsid w:val="62850A93"/>
    <w:rsid w:val="628A77AC"/>
    <w:rsid w:val="62905A75"/>
    <w:rsid w:val="629236BE"/>
    <w:rsid w:val="6294448A"/>
    <w:rsid w:val="6296199C"/>
    <w:rsid w:val="629668B6"/>
    <w:rsid w:val="62984204"/>
    <w:rsid w:val="629C1E1E"/>
    <w:rsid w:val="62A07A27"/>
    <w:rsid w:val="62A46F9E"/>
    <w:rsid w:val="62A72DD4"/>
    <w:rsid w:val="62A87D09"/>
    <w:rsid w:val="62A97E1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72490"/>
    <w:rsid w:val="633A0420"/>
    <w:rsid w:val="633A6B15"/>
    <w:rsid w:val="633B5504"/>
    <w:rsid w:val="633F55D8"/>
    <w:rsid w:val="6341499B"/>
    <w:rsid w:val="63416F64"/>
    <w:rsid w:val="63430456"/>
    <w:rsid w:val="634325ED"/>
    <w:rsid w:val="634427D5"/>
    <w:rsid w:val="63443AEC"/>
    <w:rsid w:val="634802B3"/>
    <w:rsid w:val="63490B77"/>
    <w:rsid w:val="634A6809"/>
    <w:rsid w:val="635339A8"/>
    <w:rsid w:val="63554BAF"/>
    <w:rsid w:val="63574F6E"/>
    <w:rsid w:val="635778F5"/>
    <w:rsid w:val="635C1B93"/>
    <w:rsid w:val="635C28DF"/>
    <w:rsid w:val="635E544C"/>
    <w:rsid w:val="63602152"/>
    <w:rsid w:val="636075B2"/>
    <w:rsid w:val="636A0F15"/>
    <w:rsid w:val="636B6090"/>
    <w:rsid w:val="636E75C9"/>
    <w:rsid w:val="6377373A"/>
    <w:rsid w:val="637A3169"/>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D439C"/>
    <w:rsid w:val="63BD5BBB"/>
    <w:rsid w:val="63C0331D"/>
    <w:rsid w:val="63C14A23"/>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8626C"/>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81AFF"/>
    <w:rsid w:val="64193316"/>
    <w:rsid w:val="641E2F9B"/>
    <w:rsid w:val="641F6408"/>
    <w:rsid w:val="64267B2C"/>
    <w:rsid w:val="642C2369"/>
    <w:rsid w:val="642C3D72"/>
    <w:rsid w:val="6435158C"/>
    <w:rsid w:val="64361A2B"/>
    <w:rsid w:val="643F0B3D"/>
    <w:rsid w:val="64477E7E"/>
    <w:rsid w:val="644C64F7"/>
    <w:rsid w:val="644E756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1D03"/>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635B7"/>
    <w:rsid w:val="64C70EC1"/>
    <w:rsid w:val="64C91401"/>
    <w:rsid w:val="64CD2D4A"/>
    <w:rsid w:val="64CD5F86"/>
    <w:rsid w:val="64CE720C"/>
    <w:rsid w:val="64D00401"/>
    <w:rsid w:val="64D03E07"/>
    <w:rsid w:val="64D5220C"/>
    <w:rsid w:val="64D71BA6"/>
    <w:rsid w:val="64D84777"/>
    <w:rsid w:val="64E41485"/>
    <w:rsid w:val="64E91047"/>
    <w:rsid w:val="64E934DA"/>
    <w:rsid w:val="64F05517"/>
    <w:rsid w:val="64F45D47"/>
    <w:rsid w:val="64FB3A3F"/>
    <w:rsid w:val="64FB4C50"/>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6014D"/>
    <w:rsid w:val="65180FA7"/>
    <w:rsid w:val="651A790D"/>
    <w:rsid w:val="651E622B"/>
    <w:rsid w:val="651F596D"/>
    <w:rsid w:val="65230CC1"/>
    <w:rsid w:val="65230E19"/>
    <w:rsid w:val="65260B2E"/>
    <w:rsid w:val="6529782D"/>
    <w:rsid w:val="653A7CE0"/>
    <w:rsid w:val="653F2910"/>
    <w:rsid w:val="653F3F4B"/>
    <w:rsid w:val="65442614"/>
    <w:rsid w:val="65483234"/>
    <w:rsid w:val="654D6045"/>
    <w:rsid w:val="655A3450"/>
    <w:rsid w:val="655E4E68"/>
    <w:rsid w:val="655E5BA3"/>
    <w:rsid w:val="655F0CA5"/>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80EFC"/>
    <w:rsid w:val="659C2B2E"/>
    <w:rsid w:val="659E4899"/>
    <w:rsid w:val="65A02387"/>
    <w:rsid w:val="65A46778"/>
    <w:rsid w:val="65AD490A"/>
    <w:rsid w:val="65AE37C3"/>
    <w:rsid w:val="65AF5A95"/>
    <w:rsid w:val="65B33EE8"/>
    <w:rsid w:val="65B63190"/>
    <w:rsid w:val="65B84F32"/>
    <w:rsid w:val="65B93817"/>
    <w:rsid w:val="65BA1198"/>
    <w:rsid w:val="65BC64AA"/>
    <w:rsid w:val="65C92191"/>
    <w:rsid w:val="65CB0D03"/>
    <w:rsid w:val="65D02159"/>
    <w:rsid w:val="65D857B8"/>
    <w:rsid w:val="65E66143"/>
    <w:rsid w:val="65E731DB"/>
    <w:rsid w:val="65E94987"/>
    <w:rsid w:val="65EB61D4"/>
    <w:rsid w:val="65ED499C"/>
    <w:rsid w:val="65EF690E"/>
    <w:rsid w:val="65F04330"/>
    <w:rsid w:val="65F20F15"/>
    <w:rsid w:val="65F3675D"/>
    <w:rsid w:val="65F618D7"/>
    <w:rsid w:val="65FB2DBA"/>
    <w:rsid w:val="65FD216C"/>
    <w:rsid w:val="65FE7DD6"/>
    <w:rsid w:val="66031B87"/>
    <w:rsid w:val="66046F7B"/>
    <w:rsid w:val="66060290"/>
    <w:rsid w:val="6606111A"/>
    <w:rsid w:val="660A05D9"/>
    <w:rsid w:val="660A47D1"/>
    <w:rsid w:val="660B76F3"/>
    <w:rsid w:val="660B7B56"/>
    <w:rsid w:val="660C4124"/>
    <w:rsid w:val="660E70AA"/>
    <w:rsid w:val="661511A4"/>
    <w:rsid w:val="66156C4D"/>
    <w:rsid w:val="66164AC3"/>
    <w:rsid w:val="661B36E7"/>
    <w:rsid w:val="66240622"/>
    <w:rsid w:val="662411BF"/>
    <w:rsid w:val="66275E7C"/>
    <w:rsid w:val="66292B84"/>
    <w:rsid w:val="662B361D"/>
    <w:rsid w:val="66314664"/>
    <w:rsid w:val="66315775"/>
    <w:rsid w:val="663E3B96"/>
    <w:rsid w:val="663F3EC7"/>
    <w:rsid w:val="66437052"/>
    <w:rsid w:val="66467706"/>
    <w:rsid w:val="664B6BB4"/>
    <w:rsid w:val="664D2E6B"/>
    <w:rsid w:val="664E3DD2"/>
    <w:rsid w:val="664E41D9"/>
    <w:rsid w:val="664F3140"/>
    <w:rsid w:val="66515883"/>
    <w:rsid w:val="66550BB7"/>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3661C"/>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84057"/>
    <w:rsid w:val="672920F2"/>
    <w:rsid w:val="672D7681"/>
    <w:rsid w:val="6730372A"/>
    <w:rsid w:val="67344028"/>
    <w:rsid w:val="67392A66"/>
    <w:rsid w:val="674905AC"/>
    <w:rsid w:val="67496F8C"/>
    <w:rsid w:val="67526AAE"/>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F3C4A"/>
    <w:rsid w:val="67B0143C"/>
    <w:rsid w:val="67B101FC"/>
    <w:rsid w:val="67B12426"/>
    <w:rsid w:val="67B270D1"/>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33F08"/>
    <w:rsid w:val="67E539C0"/>
    <w:rsid w:val="67E931FD"/>
    <w:rsid w:val="67EB3A12"/>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17D02"/>
    <w:rsid w:val="68134C9B"/>
    <w:rsid w:val="681627EA"/>
    <w:rsid w:val="681A2D9C"/>
    <w:rsid w:val="681D2634"/>
    <w:rsid w:val="68221833"/>
    <w:rsid w:val="6822784E"/>
    <w:rsid w:val="68246850"/>
    <w:rsid w:val="6825269F"/>
    <w:rsid w:val="682673BA"/>
    <w:rsid w:val="68270261"/>
    <w:rsid w:val="68276AF1"/>
    <w:rsid w:val="682812E5"/>
    <w:rsid w:val="682C3459"/>
    <w:rsid w:val="682C34C8"/>
    <w:rsid w:val="682D64C5"/>
    <w:rsid w:val="682E04DE"/>
    <w:rsid w:val="682F7DB2"/>
    <w:rsid w:val="683770B8"/>
    <w:rsid w:val="683957D8"/>
    <w:rsid w:val="683965C1"/>
    <w:rsid w:val="683B5DF7"/>
    <w:rsid w:val="683C53DC"/>
    <w:rsid w:val="683E2A58"/>
    <w:rsid w:val="683E36C2"/>
    <w:rsid w:val="683E74F5"/>
    <w:rsid w:val="68430152"/>
    <w:rsid w:val="6845509D"/>
    <w:rsid w:val="684671C9"/>
    <w:rsid w:val="684776E3"/>
    <w:rsid w:val="684D72F1"/>
    <w:rsid w:val="684F66B9"/>
    <w:rsid w:val="685009E6"/>
    <w:rsid w:val="6851683A"/>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332DF"/>
    <w:rsid w:val="68A41E22"/>
    <w:rsid w:val="68A97007"/>
    <w:rsid w:val="68AE2BE9"/>
    <w:rsid w:val="68B14444"/>
    <w:rsid w:val="68B229A4"/>
    <w:rsid w:val="68B478A9"/>
    <w:rsid w:val="68BA6A04"/>
    <w:rsid w:val="68BC201A"/>
    <w:rsid w:val="68C6004A"/>
    <w:rsid w:val="68C95AFB"/>
    <w:rsid w:val="68CA6F8C"/>
    <w:rsid w:val="68CD056A"/>
    <w:rsid w:val="68CD410D"/>
    <w:rsid w:val="68D324D8"/>
    <w:rsid w:val="68D34ACC"/>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337B4A"/>
    <w:rsid w:val="693A0AAA"/>
    <w:rsid w:val="693A7B08"/>
    <w:rsid w:val="693C4AC3"/>
    <w:rsid w:val="693F5E7E"/>
    <w:rsid w:val="694101FB"/>
    <w:rsid w:val="69442B21"/>
    <w:rsid w:val="69442DC6"/>
    <w:rsid w:val="69461CCA"/>
    <w:rsid w:val="694E4F80"/>
    <w:rsid w:val="694F6354"/>
    <w:rsid w:val="69512123"/>
    <w:rsid w:val="6951603D"/>
    <w:rsid w:val="695529DF"/>
    <w:rsid w:val="69572DD4"/>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43F2"/>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F6C3C"/>
    <w:rsid w:val="69A15775"/>
    <w:rsid w:val="69A36FC5"/>
    <w:rsid w:val="69AB6055"/>
    <w:rsid w:val="69B25CE5"/>
    <w:rsid w:val="69B649A4"/>
    <w:rsid w:val="69B72837"/>
    <w:rsid w:val="69C026AD"/>
    <w:rsid w:val="69C15A5B"/>
    <w:rsid w:val="69C40C44"/>
    <w:rsid w:val="69C4366B"/>
    <w:rsid w:val="69CB3017"/>
    <w:rsid w:val="69CD0DFA"/>
    <w:rsid w:val="69D07C33"/>
    <w:rsid w:val="69D24B9B"/>
    <w:rsid w:val="69D5474D"/>
    <w:rsid w:val="69D74D4A"/>
    <w:rsid w:val="69D87485"/>
    <w:rsid w:val="69D9615A"/>
    <w:rsid w:val="69DA312F"/>
    <w:rsid w:val="69DB1C7B"/>
    <w:rsid w:val="69DB51C3"/>
    <w:rsid w:val="69DF1A84"/>
    <w:rsid w:val="69E74BA2"/>
    <w:rsid w:val="69E96D68"/>
    <w:rsid w:val="69EE1071"/>
    <w:rsid w:val="69F2148A"/>
    <w:rsid w:val="69F93223"/>
    <w:rsid w:val="69FF1B34"/>
    <w:rsid w:val="69FF1D44"/>
    <w:rsid w:val="6A11122C"/>
    <w:rsid w:val="6A145E00"/>
    <w:rsid w:val="6A177B05"/>
    <w:rsid w:val="6A193D7A"/>
    <w:rsid w:val="6A1C022B"/>
    <w:rsid w:val="6A257487"/>
    <w:rsid w:val="6A276108"/>
    <w:rsid w:val="6A2A4ADC"/>
    <w:rsid w:val="6A2A5F02"/>
    <w:rsid w:val="6A2F13AC"/>
    <w:rsid w:val="6A2F3F03"/>
    <w:rsid w:val="6A3465B9"/>
    <w:rsid w:val="6A3671C9"/>
    <w:rsid w:val="6A3832AF"/>
    <w:rsid w:val="6A3A6116"/>
    <w:rsid w:val="6A3F42F3"/>
    <w:rsid w:val="6A404E3D"/>
    <w:rsid w:val="6A4574D8"/>
    <w:rsid w:val="6A5E3664"/>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72591"/>
    <w:rsid w:val="6AC8092A"/>
    <w:rsid w:val="6ACF0D8D"/>
    <w:rsid w:val="6ACF2081"/>
    <w:rsid w:val="6AD06A6E"/>
    <w:rsid w:val="6AD159F7"/>
    <w:rsid w:val="6AD205CA"/>
    <w:rsid w:val="6AD327DD"/>
    <w:rsid w:val="6AD61295"/>
    <w:rsid w:val="6AE1028F"/>
    <w:rsid w:val="6AE440E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2590B"/>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258C3"/>
    <w:rsid w:val="6BF85D43"/>
    <w:rsid w:val="6BFE4BB6"/>
    <w:rsid w:val="6C0069F3"/>
    <w:rsid w:val="6C042D16"/>
    <w:rsid w:val="6C0537C8"/>
    <w:rsid w:val="6C084114"/>
    <w:rsid w:val="6C093B94"/>
    <w:rsid w:val="6C0F12FF"/>
    <w:rsid w:val="6C0F41E1"/>
    <w:rsid w:val="6C0F62DC"/>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17EA"/>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65EE1"/>
    <w:rsid w:val="6C974442"/>
    <w:rsid w:val="6C9D6C0C"/>
    <w:rsid w:val="6C9F1981"/>
    <w:rsid w:val="6C9F6E83"/>
    <w:rsid w:val="6CA40FE5"/>
    <w:rsid w:val="6CA900DD"/>
    <w:rsid w:val="6CA97B8B"/>
    <w:rsid w:val="6CAB3913"/>
    <w:rsid w:val="6CAE2812"/>
    <w:rsid w:val="6CB01279"/>
    <w:rsid w:val="6CB06212"/>
    <w:rsid w:val="6CB42DFD"/>
    <w:rsid w:val="6CB458DD"/>
    <w:rsid w:val="6CB53EDD"/>
    <w:rsid w:val="6CB60C69"/>
    <w:rsid w:val="6CBB01D2"/>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1357D"/>
    <w:rsid w:val="6D33793E"/>
    <w:rsid w:val="6D3412BC"/>
    <w:rsid w:val="6D34472C"/>
    <w:rsid w:val="6D347C80"/>
    <w:rsid w:val="6D362DEC"/>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918B2"/>
    <w:rsid w:val="6D6A594B"/>
    <w:rsid w:val="6D6A6761"/>
    <w:rsid w:val="6D6D7FD9"/>
    <w:rsid w:val="6D6E2AC6"/>
    <w:rsid w:val="6D6E362A"/>
    <w:rsid w:val="6D6E5F36"/>
    <w:rsid w:val="6D6F58EC"/>
    <w:rsid w:val="6D704788"/>
    <w:rsid w:val="6D7170FE"/>
    <w:rsid w:val="6D734A13"/>
    <w:rsid w:val="6D790627"/>
    <w:rsid w:val="6D7A4E52"/>
    <w:rsid w:val="6D7B41BB"/>
    <w:rsid w:val="6D7D14EC"/>
    <w:rsid w:val="6D7D7268"/>
    <w:rsid w:val="6D7F04CF"/>
    <w:rsid w:val="6D8067B6"/>
    <w:rsid w:val="6D826D6C"/>
    <w:rsid w:val="6D84727D"/>
    <w:rsid w:val="6D8476E7"/>
    <w:rsid w:val="6D8960FC"/>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3E1F"/>
    <w:rsid w:val="6DE140AB"/>
    <w:rsid w:val="6DE1781C"/>
    <w:rsid w:val="6DE512BE"/>
    <w:rsid w:val="6DEA6AB1"/>
    <w:rsid w:val="6DF72903"/>
    <w:rsid w:val="6DF73D6D"/>
    <w:rsid w:val="6DFB5040"/>
    <w:rsid w:val="6DFC6D98"/>
    <w:rsid w:val="6DFE1195"/>
    <w:rsid w:val="6DFF0BBF"/>
    <w:rsid w:val="6DFF24B3"/>
    <w:rsid w:val="6E020358"/>
    <w:rsid w:val="6E047794"/>
    <w:rsid w:val="6E0532B3"/>
    <w:rsid w:val="6E073F12"/>
    <w:rsid w:val="6E08212F"/>
    <w:rsid w:val="6E0B5693"/>
    <w:rsid w:val="6E0B72B9"/>
    <w:rsid w:val="6E0C3F62"/>
    <w:rsid w:val="6E0C686E"/>
    <w:rsid w:val="6E1451C2"/>
    <w:rsid w:val="6E1862C9"/>
    <w:rsid w:val="6E1A321C"/>
    <w:rsid w:val="6E1B71E5"/>
    <w:rsid w:val="6E215335"/>
    <w:rsid w:val="6E262C4C"/>
    <w:rsid w:val="6E2703E9"/>
    <w:rsid w:val="6E2B2D7D"/>
    <w:rsid w:val="6E2B7861"/>
    <w:rsid w:val="6E2F1A84"/>
    <w:rsid w:val="6E355C99"/>
    <w:rsid w:val="6E375800"/>
    <w:rsid w:val="6E39484D"/>
    <w:rsid w:val="6E3D153A"/>
    <w:rsid w:val="6E3D457A"/>
    <w:rsid w:val="6E4062BB"/>
    <w:rsid w:val="6E42444B"/>
    <w:rsid w:val="6E456023"/>
    <w:rsid w:val="6E471FA2"/>
    <w:rsid w:val="6E490287"/>
    <w:rsid w:val="6E4A4406"/>
    <w:rsid w:val="6E4D0909"/>
    <w:rsid w:val="6E4F73BE"/>
    <w:rsid w:val="6E56438B"/>
    <w:rsid w:val="6E566306"/>
    <w:rsid w:val="6E5825D9"/>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A03096"/>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B75C0"/>
    <w:rsid w:val="6ECD1194"/>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E53AC"/>
    <w:rsid w:val="6EFE5570"/>
    <w:rsid w:val="6EFE6A06"/>
    <w:rsid w:val="6F015907"/>
    <w:rsid w:val="6F092C57"/>
    <w:rsid w:val="6F09622E"/>
    <w:rsid w:val="6F0A3B98"/>
    <w:rsid w:val="6F0C47B7"/>
    <w:rsid w:val="6F0D1702"/>
    <w:rsid w:val="6F0E46EF"/>
    <w:rsid w:val="6F1746E3"/>
    <w:rsid w:val="6F1C0B8B"/>
    <w:rsid w:val="6F1C79B3"/>
    <w:rsid w:val="6F1E13B7"/>
    <w:rsid w:val="6F2246AE"/>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47D41"/>
    <w:rsid w:val="6FF74058"/>
    <w:rsid w:val="6FF850BA"/>
    <w:rsid w:val="6FF93E79"/>
    <w:rsid w:val="6FFB124C"/>
    <w:rsid w:val="6FFD13E7"/>
    <w:rsid w:val="6FFE1680"/>
    <w:rsid w:val="70035B63"/>
    <w:rsid w:val="70036C52"/>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83C72"/>
    <w:rsid w:val="702A07BA"/>
    <w:rsid w:val="702B330B"/>
    <w:rsid w:val="702C612B"/>
    <w:rsid w:val="702E5A47"/>
    <w:rsid w:val="702F7F84"/>
    <w:rsid w:val="70373B9C"/>
    <w:rsid w:val="70375A7F"/>
    <w:rsid w:val="70456EE6"/>
    <w:rsid w:val="704622D4"/>
    <w:rsid w:val="7046270D"/>
    <w:rsid w:val="70507F66"/>
    <w:rsid w:val="70513178"/>
    <w:rsid w:val="70534217"/>
    <w:rsid w:val="70572E91"/>
    <w:rsid w:val="705C2743"/>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164F"/>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A4199"/>
    <w:rsid w:val="70CD0CF0"/>
    <w:rsid w:val="70CD1E07"/>
    <w:rsid w:val="70CD7510"/>
    <w:rsid w:val="70D32EE1"/>
    <w:rsid w:val="70D40276"/>
    <w:rsid w:val="70D4174C"/>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6576"/>
    <w:rsid w:val="716F72EE"/>
    <w:rsid w:val="71734806"/>
    <w:rsid w:val="71795193"/>
    <w:rsid w:val="717A35EB"/>
    <w:rsid w:val="717F72FD"/>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CA6C9D"/>
    <w:rsid w:val="71CE4653"/>
    <w:rsid w:val="71D15F35"/>
    <w:rsid w:val="71D27954"/>
    <w:rsid w:val="71D35537"/>
    <w:rsid w:val="71D35A15"/>
    <w:rsid w:val="71D4164F"/>
    <w:rsid w:val="71D47B54"/>
    <w:rsid w:val="71D52F5F"/>
    <w:rsid w:val="71DA05B6"/>
    <w:rsid w:val="71DA7EA4"/>
    <w:rsid w:val="71DB0D8C"/>
    <w:rsid w:val="71DD303F"/>
    <w:rsid w:val="71DD58BE"/>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D41D3"/>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7B3194"/>
    <w:rsid w:val="72854082"/>
    <w:rsid w:val="7285589D"/>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6E9"/>
    <w:rsid w:val="72C83A64"/>
    <w:rsid w:val="72C87A6B"/>
    <w:rsid w:val="72CA0320"/>
    <w:rsid w:val="72CF3139"/>
    <w:rsid w:val="72D04006"/>
    <w:rsid w:val="72D10367"/>
    <w:rsid w:val="72D133D8"/>
    <w:rsid w:val="72D20C8D"/>
    <w:rsid w:val="72D21E54"/>
    <w:rsid w:val="72D34AA4"/>
    <w:rsid w:val="72D97928"/>
    <w:rsid w:val="72DB68EE"/>
    <w:rsid w:val="72DC0797"/>
    <w:rsid w:val="72E34F8F"/>
    <w:rsid w:val="72F31AE3"/>
    <w:rsid w:val="72F32BA1"/>
    <w:rsid w:val="72F457C3"/>
    <w:rsid w:val="72F81755"/>
    <w:rsid w:val="72FA493B"/>
    <w:rsid w:val="72FB27FC"/>
    <w:rsid w:val="7301303C"/>
    <w:rsid w:val="73024E04"/>
    <w:rsid w:val="730B0185"/>
    <w:rsid w:val="730B2912"/>
    <w:rsid w:val="73117F42"/>
    <w:rsid w:val="73144954"/>
    <w:rsid w:val="731666BA"/>
    <w:rsid w:val="73166B31"/>
    <w:rsid w:val="731A08E9"/>
    <w:rsid w:val="731C7F6E"/>
    <w:rsid w:val="731F77E3"/>
    <w:rsid w:val="73224F07"/>
    <w:rsid w:val="732413D6"/>
    <w:rsid w:val="73252C5C"/>
    <w:rsid w:val="73266F63"/>
    <w:rsid w:val="732A69D2"/>
    <w:rsid w:val="732E7A41"/>
    <w:rsid w:val="73353A9D"/>
    <w:rsid w:val="733863C2"/>
    <w:rsid w:val="733A4AF0"/>
    <w:rsid w:val="733E3498"/>
    <w:rsid w:val="733E5133"/>
    <w:rsid w:val="73454669"/>
    <w:rsid w:val="73461B86"/>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0195"/>
    <w:rsid w:val="73814F3E"/>
    <w:rsid w:val="73833688"/>
    <w:rsid w:val="73840F89"/>
    <w:rsid w:val="73887B7B"/>
    <w:rsid w:val="738979AC"/>
    <w:rsid w:val="738B78DE"/>
    <w:rsid w:val="738C5045"/>
    <w:rsid w:val="738C5DA9"/>
    <w:rsid w:val="738E2EC4"/>
    <w:rsid w:val="738F3A55"/>
    <w:rsid w:val="738F6BA3"/>
    <w:rsid w:val="73920802"/>
    <w:rsid w:val="73946E3C"/>
    <w:rsid w:val="739942FF"/>
    <w:rsid w:val="739B22D3"/>
    <w:rsid w:val="739C1D97"/>
    <w:rsid w:val="73A649F0"/>
    <w:rsid w:val="73A760F2"/>
    <w:rsid w:val="73AD1544"/>
    <w:rsid w:val="73AD6947"/>
    <w:rsid w:val="73BC637E"/>
    <w:rsid w:val="73BD32EF"/>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44A3C"/>
    <w:rsid w:val="73E912E9"/>
    <w:rsid w:val="73EF11DC"/>
    <w:rsid w:val="73F813E4"/>
    <w:rsid w:val="73F97199"/>
    <w:rsid w:val="73FA0DAA"/>
    <w:rsid w:val="73FB34BE"/>
    <w:rsid w:val="73FF104A"/>
    <w:rsid w:val="740559D0"/>
    <w:rsid w:val="74084055"/>
    <w:rsid w:val="740A122A"/>
    <w:rsid w:val="740A13D9"/>
    <w:rsid w:val="740D2E53"/>
    <w:rsid w:val="74166CA8"/>
    <w:rsid w:val="74174637"/>
    <w:rsid w:val="741747BB"/>
    <w:rsid w:val="74181CD9"/>
    <w:rsid w:val="74186140"/>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07EC5"/>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42E91"/>
    <w:rsid w:val="74957A0A"/>
    <w:rsid w:val="74992890"/>
    <w:rsid w:val="749E3BB4"/>
    <w:rsid w:val="74A01F2F"/>
    <w:rsid w:val="74A43647"/>
    <w:rsid w:val="74A83DF8"/>
    <w:rsid w:val="74A85617"/>
    <w:rsid w:val="74AB1458"/>
    <w:rsid w:val="74AF19B2"/>
    <w:rsid w:val="74B33364"/>
    <w:rsid w:val="74B81999"/>
    <w:rsid w:val="74BC376B"/>
    <w:rsid w:val="74BD448C"/>
    <w:rsid w:val="74BE4A53"/>
    <w:rsid w:val="74C440A9"/>
    <w:rsid w:val="74C555D9"/>
    <w:rsid w:val="74CA6EF9"/>
    <w:rsid w:val="74CB4839"/>
    <w:rsid w:val="74D03534"/>
    <w:rsid w:val="74DD3E9F"/>
    <w:rsid w:val="74DE2595"/>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11CF2"/>
    <w:rsid w:val="75181445"/>
    <w:rsid w:val="751A36F4"/>
    <w:rsid w:val="751C7D45"/>
    <w:rsid w:val="752546B5"/>
    <w:rsid w:val="752A0E13"/>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7E4F14"/>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BF1348"/>
    <w:rsid w:val="75C5102B"/>
    <w:rsid w:val="75CA6FDB"/>
    <w:rsid w:val="75CA76E4"/>
    <w:rsid w:val="75CD25B0"/>
    <w:rsid w:val="75D0034E"/>
    <w:rsid w:val="75D0763F"/>
    <w:rsid w:val="75D30E54"/>
    <w:rsid w:val="75D71109"/>
    <w:rsid w:val="75D729B5"/>
    <w:rsid w:val="75DB5530"/>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116C"/>
    <w:rsid w:val="761534F7"/>
    <w:rsid w:val="7617162F"/>
    <w:rsid w:val="76192FD7"/>
    <w:rsid w:val="7619484E"/>
    <w:rsid w:val="761A00B4"/>
    <w:rsid w:val="761A4240"/>
    <w:rsid w:val="761B102B"/>
    <w:rsid w:val="761D7BB2"/>
    <w:rsid w:val="762012F3"/>
    <w:rsid w:val="7629443E"/>
    <w:rsid w:val="762E5146"/>
    <w:rsid w:val="762F067E"/>
    <w:rsid w:val="76322CE8"/>
    <w:rsid w:val="7635710A"/>
    <w:rsid w:val="76391262"/>
    <w:rsid w:val="763B0284"/>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02AD"/>
    <w:rsid w:val="765D3600"/>
    <w:rsid w:val="76621F9A"/>
    <w:rsid w:val="76634C58"/>
    <w:rsid w:val="766B3DFC"/>
    <w:rsid w:val="766C38AC"/>
    <w:rsid w:val="766E2211"/>
    <w:rsid w:val="76710E80"/>
    <w:rsid w:val="76721D4F"/>
    <w:rsid w:val="76755C2C"/>
    <w:rsid w:val="76771A07"/>
    <w:rsid w:val="767C3FE1"/>
    <w:rsid w:val="767E302B"/>
    <w:rsid w:val="768921A4"/>
    <w:rsid w:val="76895AF9"/>
    <w:rsid w:val="768B5BCE"/>
    <w:rsid w:val="769016B8"/>
    <w:rsid w:val="7692351A"/>
    <w:rsid w:val="76932345"/>
    <w:rsid w:val="76982F33"/>
    <w:rsid w:val="76990DD2"/>
    <w:rsid w:val="76A5622D"/>
    <w:rsid w:val="76A633ED"/>
    <w:rsid w:val="76A81D96"/>
    <w:rsid w:val="76AB5F51"/>
    <w:rsid w:val="76B02504"/>
    <w:rsid w:val="76B576A3"/>
    <w:rsid w:val="76B97863"/>
    <w:rsid w:val="76C36DA3"/>
    <w:rsid w:val="76C67CB0"/>
    <w:rsid w:val="76CD4EB7"/>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11109"/>
    <w:rsid w:val="7717373F"/>
    <w:rsid w:val="77187B86"/>
    <w:rsid w:val="771F4A89"/>
    <w:rsid w:val="7720678D"/>
    <w:rsid w:val="77211E91"/>
    <w:rsid w:val="772C5306"/>
    <w:rsid w:val="772C68A2"/>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873CB"/>
    <w:rsid w:val="776910A8"/>
    <w:rsid w:val="7769549F"/>
    <w:rsid w:val="776F52BC"/>
    <w:rsid w:val="7770604C"/>
    <w:rsid w:val="77714212"/>
    <w:rsid w:val="77761944"/>
    <w:rsid w:val="777C4D24"/>
    <w:rsid w:val="77823ED9"/>
    <w:rsid w:val="778807C6"/>
    <w:rsid w:val="77880B79"/>
    <w:rsid w:val="77883055"/>
    <w:rsid w:val="77883832"/>
    <w:rsid w:val="7789361D"/>
    <w:rsid w:val="778A4F63"/>
    <w:rsid w:val="778A7FD8"/>
    <w:rsid w:val="778E2DA5"/>
    <w:rsid w:val="778F28EE"/>
    <w:rsid w:val="77905FA2"/>
    <w:rsid w:val="77907804"/>
    <w:rsid w:val="77956910"/>
    <w:rsid w:val="779B34EE"/>
    <w:rsid w:val="779D504A"/>
    <w:rsid w:val="779F05CC"/>
    <w:rsid w:val="77A049D7"/>
    <w:rsid w:val="77A527AF"/>
    <w:rsid w:val="77A6008A"/>
    <w:rsid w:val="77AA0962"/>
    <w:rsid w:val="77AA4BB7"/>
    <w:rsid w:val="77B02189"/>
    <w:rsid w:val="77B05D89"/>
    <w:rsid w:val="77B349F9"/>
    <w:rsid w:val="77B47AEB"/>
    <w:rsid w:val="77B6601D"/>
    <w:rsid w:val="77BB391E"/>
    <w:rsid w:val="77BE30DF"/>
    <w:rsid w:val="77BF2226"/>
    <w:rsid w:val="77BF6C49"/>
    <w:rsid w:val="77C00C58"/>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02BBE"/>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4923"/>
    <w:rsid w:val="78AA7E6E"/>
    <w:rsid w:val="78B27DE9"/>
    <w:rsid w:val="78B43694"/>
    <w:rsid w:val="78B459F2"/>
    <w:rsid w:val="78B82EC3"/>
    <w:rsid w:val="78BB09E4"/>
    <w:rsid w:val="78BB4A70"/>
    <w:rsid w:val="78BE2FCD"/>
    <w:rsid w:val="78C053B2"/>
    <w:rsid w:val="78C360A4"/>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2A1"/>
    <w:rsid w:val="78F74D75"/>
    <w:rsid w:val="78F96958"/>
    <w:rsid w:val="79001ACD"/>
    <w:rsid w:val="790233B1"/>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0162F"/>
    <w:rsid w:val="79312D2A"/>
    <w:rsid w:val="79331259"/>
    <w:rsid w:val="793706B9"/>
    <w:rsid w:val="7938329D"/>
    <w:rsid w:val="793A1AE4"/>
    <w:rsid w:val="793B5D22"/>
    <w:rsid w:val="793C7B07"/>
    <w:rsid w:val="79416D4F"/>
    <w:rsid w:val="79447468"/>
    <w:rsid w:val="794621D6"/>
    <w:rsid w:val="79486926"/>
    <w:rsid w:val="794A6843"/>
    <w:rsid w:val="795134B6"/>
    <w:rsid w:val="7955204F"/>
    <w:rsid w:val="795E06F8"/>
    <w:rsid w:val="79620926"/>
    <w:rsid w:val="79651144"/>
    <w:rsid w:val="79652A76"/>
    <w:rsid w:val="79681A85"/>
    <w:rsid w:val="79694076"/>
    <w:rsid w:val="796B6EA2"/>
    <w:rsid w:val="796D0A0E"/>
    <w:rsid w:val="79725241"/>
    <w:rsid w:val="79732E77"/>
    <w:rsid w:val="79743161"/>
    <w:rsid w:val="797646D0"/>
    <w:rsid w:val="797D5A8D"/>
    <w:rsid w:val="797E3237"/>
    <w:rsid w:val="798300AD"/>
    <w:rsid w:val="798547D0"/>
    <w:rsid w:val="798B0BA1"/>
    <w:rsid w:val="798B7ED4"/>
    <w:rsid w:val="799058F1"/>
    <w:rsid w:val="79922980"/>
    <w:rsid w:val="79927ACF"/>
    <w:rsid w:val="799538B1"/>
    <w:rsid w:val="7997453A"/>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3EC7"/>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1F56"/>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A302A"/>
    <w:rsid w:val="7B9C5455"/>
    <w:rsid w:val="7B9E2E81"/>
    <w:rsid w:val="7B9F175E"/>
    <w:rsid w:val="7B9F555A"/>
    <w:rsid w:val="7BA60DEC"/>
    <w:rsid w:val="7BAB4D2A"/>
    <w:rsid w:val="7BAD11FC"/>
    <w:rsid w:val="7BB53310"/>
    <w:rsid w:val="7BB55C27"/>
    <w:rsid w:val="7BBA1EAE"/>
    <w:rsid w:val="7BBA70B4"/>
    <w:rsid w:val="7BBD4E80"/>
    <w:rsid w:val="7BC43B6B"/>
    <w:rsid w:val="7BC61A33"/>
    <w:rsid w:val="7BC865B3"/>
    <w:rsid w:val="7BC960F4"/>
    <w:rsid w:val="7BCB178D"/>
    <w:rsid w:val="7BCD7FFB"/>
    <w:rsid w:val="7BCE5623"/>
    <w:rsid w:val="7BCF1DE2"/>
    <w:rsid w:val="7BCF5CA9"/>
    <w:rsid w:val="7BD03F65"/>
    <w:rsid w:val="7BD43E2F"/>
    <w:rsid w:val="7BD4468E"/>
    <w:rsid w:val="7BD46237"/>
    <w:rsid w:val="7BD556F2"/>
    <w:rsid w:val="7BDA0029"/>
    <w:rsid w:val="7BDA407F"/>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41E9D"/>
    <w:rsid w:val="7C250A5F"/>
    <w:rsid w:val="7C29156F"/>
    <w:rsid w:val="7C294D90"/>
    <w:rsid w:val="7C2A1EA9"/>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5C7CD0"/>
    <w:rsid w:val="7C614696"/>
    <w:rsid w:val="7C690B7A"/>
    <w:rsid w:val="7C6D473C"/>
    <w:rsid w:val="7C6E0CAE"/>
    <w:rsid w:val="7C6F0C97"/>
    <w:rsid w:val="7C7147EA"/>
    <w:rsid w:val="7C7241D4"/>
    <w:rsid w:val="7C7B1E57"/>
    <w:rsid w:val="7C7C3178"/>
    <w:rsid w:val="7C8505B4"/>
    <w:rsid w:val="7C892B5F"/>
    <w:rsid w:val="7C8B4BD5"/>
    <w:rsid w:val="7C8E642B"/>
    <w:rsid w:val="7C997B87"/>
    <w:rsid w:val="7C9C0531"/>
    <w:rsid w:val="7CA06A8F"/>
    <w:rsid w:val="7CA333EB"/>
    <w:rsid w:val="7CAC1334"/>
    <w:rsid w:val="7CAC385C"/>
    <w:rsid w:val="7CAC5376"/>
    <w:rsid w:val="7CB12BE0"/>
    <w:rsid w:val="7CB33312"/>
    <w:rsid w:val="7CB55EE5"/>
    <w:rsid w:val="7CB6341C"/>
    <w:rsid w:val="7CB72D34"/>
    <w:rsid w:val="7CB9256D"/>
    <w:rsid w:val="7CB93D1E"/>
    <w:rsid w:val="7CB96269"/>
    <w:rsid w:val="7CBC4622"/>
    <w:rsid w:val="7CBD1EA8"/>
    <w:rsid w:val="7CC02C37"/>
    <w:rsid w:val="7CC5108F"/>
    <w:rsid w:val="7CC6335E"/>
    <w:rsid w:val="7CC64DC3"/>
    <w:rsid w:val="7CCA49B8"/>
    <w:rsid w:val="7CCD3780"/>
    <w:rsid w:val="7CD070AA"/>
    <w:rsid w:val="7CD11461"/>
    <w:rsid w:val="7CD215D3"/>
    <w:rsid w:val="7CD258A4"/>
    <w:rsid w:val="7CD31C3B"/>
    <w:rsid w:val="7CD60EFF"/>
    <w:rsid w:val="7CD77461"/>
    <w:rsid w:val="7CD853D0"/>
    <w:rsid w:val="7CDD2005"/>
    <w:rsid w:val="7CE07596"/>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06ED5"/>
    <w:rsid w:val="7DB23BAB"/>
    <w:rsid w:val="7DBE5ECB"/>
    <w:rsid w:val="7DC4752C"/>
    <w:rsid w:val="7DC55AE8"/>
    <w:rsid w:val="7DC932A8"/>
    <w:rsid w:val="7DCB15B2"/>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65342"/>
    <w:rsid w:val="7EC92461"/>
    <w:rsid w:val="7ECB640A"/>
    <w:rsid w:val="7ECD65C3"/>
    <w:rsid w:val="7ED125D2"/>
    <w:rsid w:val="7ED72625"/>
    <w:rsid w:val="7ED7579C"/>
    <w:rsid w:val="7ED91764"/>
    <w:rsid w:val="7ED92D9B"/>
    <w:rsid w:val="7EDA7E49"/>
    <w:rsid w:val="7EDB6324"/>
    <w:rsid w:val="7EDC0588"/>
    <w:rsid w:val="7EE043A3"/>
    <w:rsid w:val="7EE32EA1"/>
    <w:rsid w:val="7EE33E7E"/>
    <w:rsid w:val="7EE85E1A"/>
    <w:rsid w:val="7EE9267A"/>
    <w:rsid w:val="7EED0C0A"/>
    <w:rsid w:val="7EF02B2B"/>
    <w:rsid w:val="7EF10C15"/>
    <w:rsid w:val="7EF42B2D"/>
    <w:rsid w:val="7EF5320B"/>
    <w:rsid w:val="7EF6525A"/>
    <w:rsid w:val="7EF75BFD"/>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B5771"/>
    <w:rsid w:val="7F5F27CD"/>
    <w:rsid w:val="7F5F66C5"/>
    <w:rsid w:val="7F602385"/>
    <w:rsid w:val="7F614A34"/>
    <w:rsid w:val="7F614D28"/>
    <w:rsid w:val="7F6179F3"/>
    <w:rsid w:val="7F63372A"/>
    <w:rsid w:val="7F6365F9"/>
    <w:rsid w:val="7F642634"/>
    <w:rsid w:val="7F6812CE"/>
    <w:rsid w:val="7F69519A"/>
    <w:rsid w:val="7F70218A"/>
    <w:rsid w:val="7F7514A2"/>
    <w:rsid w:val="7F7B282B"/>
    <w:rsid w:val="7F7D592C"/>
    <w:rsid w:val="7F805AC3"/>
    <w:rsid w:val="7F83286F"/>
    <w:rsid w:val="7F8649A9"/>
    <w:rsid w:val="7F873895"/>
    <w:rsid w:val="7F891D26"/>
    <w:rsid w:val="7F8A16A6"/>
    <w:rsid w:val="7F8D77FC"/>
    <w:rsid w:val="7F913931"/>
    <w:rsid w:val="7F915207"/>
    <w:rsid w:val="7F960E9D"/>
    <w:rsid w:val="7F98284E"/>
    <w:rsid w:val="7F992685"/>
    <w:rsid w:val="7F9B0314"/>
    <w:rsid w:val="7F9D20A5"/>
    <w:rsid w:val="7F9E22BE"/>
    <w:rsid w:val="7F9E2932"/>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BD5DC2"/>
    <w:rsid w:val="7FC331C5"/>
    <w:rsid w:val="7FC83CB0"/>
    <w:rsid w:val="7FC916D2"/>
    <w:rsid w:val="7FCA5187"/>
    <w:rsid w:val="7FCC570C"/>
    <w:rsid w:val="7FCE0DDA"/>
    <w:rsid w:val="7FD14557"/>
    <w:rsid w:val="7FD270D3"/>
    <w:rsid w:val="7FD94D25"/>
    <w:rsid w:val="7FDC041F"/>
    <w:rsid w:val="7FDD1879"/>
    <w:rsid w:val="7FE1147A"/>
    <w:rsid w:val="7FE17C1C"/>
    <w:rsid w:val="7FE721D8"/>
    <w:rsid w:val="7FEA0E77"/>
    <w:rsid w:val="7FEA56BA"/>
    <w:rsid w:val="7FEF77A3"/>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6"/>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7"/>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8"/>
    <w:unhideWhenUsed/>
    <w:qFormat/>
    <w:uiPriority w:val="9"/>
    <w:pPr>
      <w:outlineLvl w:val="2"/>
    </w:pPr>
  </w:style>
  <w:style w:type="paragraph" w:styleId="5">
    <w:name w:val="heading 4"/>
    <w:basedOn w:val="4"/>
    <w:next w:val="1"/>
    <w:link w:val="67"/>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8"/>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5">
    <w:name w:val="caption"/>
    <w:basedOn w:val="1"/>
    <w:next w:val="1"/>
    <w:link w:val="44"/>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6">
    <w:name w:val="Document Map"/>
    <w:basedOn w:val="1"/>
    <w:link w:val="42"/>
    <w:unhideWhenUsed/>
    <w:qFormat/>
    <w:uiPriority w:val="99"/>
    <w:rPr>
      <w:rFonts w:ascii="宋体"/>
      <w:sz w:val="18"/>
      <w:szCs w:val="18"/>
    </w:rPr>
  </w:style>
  <w:style w:type="paragraph" w:styleId="17">
    <w:name w:val="annotation text"/>
    <w:basedOn w:val="1"/>
    <w:link w:val="39"/>
    <w:unhideWhenUsed/>
    <w:qFormat/>
    <w:uiPriority w:val="99"/>
    <w:rPr>
      <w:sz w:val="20"/>
      <w:szCs w:val="20"/>
    </w:rPr>
  </w:style>
  <w:style w:type="paragraph" w:styleId="18">
    <w:name w:val="Body Text"/>
    <w:basedOn w:val="1"/>
    <w:link w:val="43"/>
    <w:qFormat/>
    <w:uiPriority w:val="0"/>
    <w:pPr>
      <w:widowControl w:val="0"/>
      <w:spacing w:after="0" w:line="240" w:lineRule="auto"/>
      <w:jc w:val="both"/>
    </w:pPr>
    <w:rPr>
      <w:rFonts w:ascii="Times New Roman" w:hAnsi="Times New Roman"/>
      <w:color w:val="0000FF"/>
      <w:kern w:val="2"/>
      <w:sz w:val="21"/>
      <w:szCs w:val="20"/>
    </w:rPr>
  </w:style>
  <w:style w:type="paragraph" w:styleId="19">
    <w:name w:val="Body Text Indent"/>
    <w:basedOn w:val="1"/>
    <w:link w:val="75"/>
    <w:unhideWhenUsed/>
    <w:qFormat/>
    <w:uiPriority w:val="99"/>
    <w:pPr>
      <w:spacing w:after="120"/>
      <w:ind w:left="360"/>
    </w:pPr>
  </w:style>
  <w:style w:type="paragraph" w:styleId="20">
    <w:name w:val="Plain Text"/>
    <w:basedOn w:val="1"/>
    <w:link w:val="61"/>
    <w:unhideWhenUsed/>
    <w:qFormat/>
    <w:uiPriority w:val="99"/>
    <w:pPr>
      <w:spacing w:after="0" w:line="240" w:lineRule="auto"/>
    </w:pPr>
    <w:rPr>
      <w:rFonts w:eastAsia="Calibri"/>
      <w:szCs w:val="21"/>
      <w:lang w:val="en-GB" w:eastAsia="en-US"/>
    </w:rPr>
  </w:style>
  <w:style w:type="paragraph" w:styleId="21">
    <w:name w:val="Date"/>
    <w:basedOn w:val="1"/>
    <w:next w:val="1"/>
    <w:link w:val="55"/>
    <w:unhideWhenUsed/>
    <w:qFormat/>
    <w:uiPriority w:val="99"/>
    <w:pPr>
      <w:ind w:left="100" w:leftChars="2500"/>
    </w:pPr>
  </w:style>
  <w:style w:type="paragraph" w:styleId="22">
    <w:name w:val="Balloon Text"/>
    <w:basedOn w:val="1"/>
    <w:link w:val="41"/>
    <w:unhideWhenUsed/>
    <w:qFormat/>
    <w:uiPriority w:val="99"/>
    <w:pPr>
      <w:spacing w:after="0" w:line="240" w:lineRule="auto"/>
    </w:pPr>
    <w:rPr>
      <w:rFonts w:ascii="Tahoma" w:hAnsi="Tahoma"/>
      <w:sz w:val="16"/>
      <w:szCs w:val="16"/>
    </w:rPr>
  </w:style>
  <w:style w:type="paragraph" w:styleId="23">
    <w:name w:val="footer"/>
    <w:basedOn w:val="1"/>
    <w:link w:val="46"/>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7"/>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List 4"/>
    <w:basedOn w:val="11"/>
    <w:qFormat/>
    <w:uiPriority w:val="0"/>
    <w:pPr>
      <w:ind w:left="1418"/>
    </w:p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7"/>
    <w:next w:val="17"/>
    <w:link w:val="40"/>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Strong"/>
    <w:basedOn w:val="30"/>
    <w:qFormat/>
    <w:uiPriority w:val="22"/>
    <w:rPr>
      <w:b/>
    </w:rPr>
  </w:style>
  <w:style w:type="character" w:styleId="32">
    <w:name w:val="page number"/>
    <w:basedOn w:val="30"/>
    <w:unhideWhenUsed/>
    <w:qFormat/>
    <w:uiPriority w:val="99"/>
    <w:rPr>
      <w:rFonts w:hint="default"/>
      <w:sz w:val="24"/>
    </w:rPr>
  </w:style>
  <w:style w:type="character" w:styleId="33">
    <w:name w:val="Emphasis"/>
    <w:basedOn w:val="30"/>
    <w:qFormat/>
    <w:uiPriority w:val="20"/>
    <w:rPr>
      <w:i/>
    </w:rPr>
  </w:style>
  <w:style w:type="character" w:styleId="34">
    <w:name w:val="Hyperlink"/>
    <w:unhideWhenUsed/>
    <w:qFormat/>
    <w:uiPriority w:val="99"/>
    <w:rPr>
      <w:color w:val="0000FF"/>
      <w:u w:val="single"/>
    </w:rPr>
  </w:style>
  <w:style w:type="character" w:styleId="35">
    <w:name w:val="annotation reference"/>
    <w:unhideWhenUsed/>
    <w:qFormat/>
    <w:uiPriority w:val="99"/>
    <w:rPr>
      <w:sz w:val="16"/>
      <w:szCs w:val="16"/>
    </w:rPr>
  </w:style>
  <w:style w:type="character" w:customStyle="1" w:styleId="36">
    <w:name w:val="标题 1 Char"/>
    <w:link w:val="2"/>
    <w:qFormat/>
    <w:uiPriority w:val="99"/>
    <w:rPr>
      <w:rFonts w:ascii="Arial" w:hAnsi="Arial" w:eastAsia="黑体"/>
      <w:b/>
      <w:bCs/>
      <w:sz w:val="30"/>
      <w:szCs w:val="30"/>
      <w:lang w:val="zh-CN" w:eastAsia="zh-CN"/>
    </w:rPr>
  </w:style>
  <w:style w:type="character" w:customStyle="1" w:styleId="37">
    <w:name w:val="页眉 Char"/>
    <w:link w:val="24"/>
    <w:qFormat/>
    <w:uiPriority w:val="99"/>
    <w:rPr>
      <w:rFonts w:ascii="Arial" w:hAnsi="Arial" w:eastAsia="MS Mincho"/>
      <w:b/>
      <w:szCs w:val="24"/>
      <w:lang w:eastAsia="en-US"/>
    </w:rPr>
  </w:style>
  <w:style w:type="paragraph" w:customStyle="1" w:styleId="38">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9">
    <w:name w:val="批注文字 Char"/>
    <w:basedOn w:val="30"/>
    <w:link w:val="17"/>
    <w:qFormat/>
    <w:uiPriority w:val="99"/>
  </w:style>
  <w:style w:type="character" w:customStyle="1" w:styleId="40">
    <w:name w:val="批注主题 Char"/>
    <w:link w:val="27"/>
    <w:semiHidden/>
    <w:qFormat/>
    <w:uiPriority w:val="99"/>
    <w:rPr>
      <w:b/>
      <w:bCs/>
    </w:rPr>
  </w:style>
  <w:style w:type="character" w:customStyle="1" w:styleId="41">
    <w:name w:val="批注框文本 Char"/>
    <w:link w:val="22"/>
    <w:semiHidden/>
    <w:qFormat/>
    <w:uiPriority w:val="99"/>
    <w:rPr>
      <w:rFonts w:ascii="Tahoma" w:hAnsi="Tahoma" w:cs="Tahoma"/>
      <w:sz w:val="16"/>
      <w:szCs w:val="16"/>
    </w:rPr>
  </w:style>
  <w:style w:type="character" w:customStyle="1" w:styleId="42">
    <w:name w:val="文档结构图 Char"/>
    <w:link w:val="16"/>
    <w:semiHidden/>
    <w:qFormat/>
    <w:uiPriority w:val="99"/>
    <w:rPr>
      <w:rFonts w:ascii="宋体"/>
      <w:sz w:val="18"/>
      <w:szCs w:val="18"/>
    </w:rPr>
  </w:style>
  <w:style w:type="character" w:customStyle="1" w:styleId="43">
    <w:name w:val="正文文本 Char"/>
    <w:link w:val="18"/>
    <w:qFormat/>
    <w:uiPriority w:val="0"/>
    <w:rPr>
      <w:rFonts w:ascii="Times New Roman" w:hAnsi="Times New Roman"/>
      <w:color w:val="0000FF"/>
      <w:kern w:val="2"/>
      <w:sz w:val="21"/>
    </w:rPr>
  </w:style>
  <w:style w:type="character" w:customStyle="1" w:styleId="44">
    <w:name w:val="题注 Char"/>
    <w:link w:val="15"/>
    <w:qFormat/>
    <w:uiPriority w:val="0"/>
    <w:rPr>
      <w:rFonts w:ascii="Times New Roman" w:hAnsi="Times New Roman"/>
      <w:b/>
      <w:bCs/>
      <w:lang w:val="en-GB" w:eastAsia="sv-SE"/>
    </w:rPr>
  </w:style>
  <w:style w:type="paragraph" w:customStyle="1" w:styleId="45">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6">
    <w:name w:val="页脚 Char"/>
    <w:link w:val="23"/>
    <w:qFormat/>
    <w:uiPriority w:val="99"/>
    <w:rPr>
      <w:sz w:val="18"/>
      <w:szCs w:val="18"/>
    </w:rPr>
  </w:style>
  <w:style w:type="character" w:customStyle="1" w:styleId="47">
    <w:name w:val="标题 2 Char"/>
    <w:link w:val="3"/>
    <w:qFormat/>
    <w:uiPriority w:val="0"/>
    <w:rPr>
      <w:rFonts w:ascii="Cambria" w:hAnsi="Cambria"/>
      <w:b/>
      <w:bCs/>
      <w:sz w:val="32"/>
      <w:szCs w:val="32"/>
      <w:lang w:val="en-US" w:eastAsia="zh-CN"/>
    </w:rPr>
  </w:style>
  <w:style w:type="character" w:customStyle="1" w:styleId="48">
    <w:name w:val="标题 3 Char"/>
    <w:link w:val="4"/>
    <w:semiHidden/>
    <w:qFormat/>
    <w:uiPriority w:val="9"/>
    <w:rPr>
      <w:b/>
      <w:bCs/>
      <w:sz w:val="32"/>
      <w:szCs w:val="32"/>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0">
    <w:name w:val="z-Top of Form1"/>
    <w:basedOn w:val="1"/>
    <w:next w:val="1"/>
    <w:link w:val="51"/>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1">
    <w:name w:val="z-窗体顶端 Char"/>
    <w:link w:val="50"/>
    <w:semiHidden/>
    <w:qFormat/>
    <w:uiPriority w:val="99"/>
    <w:rPr>
      <w:rFonts w:ascii="Arial" w:hAnsi="Arial" w:cs="Arial"/>
      <w:vanish/>
      <w:sz w:val="16"/>
      <w:szCs w:val="16"/>
    </w:rPr>
  </w:style>
  <w:style w:type="character" w:customStyle="1" w:styleId="52">
    <w:name w:val="hps"/>
    <w:basedOn w:val="30"/>
    <w:qFormat/>
    <w:uiPriority w:val="0"/>
  </w:style>
  <w:style w:type="paragraph" w:customStyle="1" w:styleId="53">
    <w:name w:val="z-Bottom of Form1"/>
    <w:basedOn w:val="1"/>
    <w:next w:val="1"/>
    <w:link w:val="54"/>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4">
    <w:name w:val="z-窗体底端 Char"/>
    <w:link w:val="53"/>
    <w:semiHidden/>
    <w:qFormat/>
    <w:uiPriority w:val="99"/>
    <w:rPr>
      <w:rFonts w:ascii="Arial" w:hAnsi="Arial" w:cs="Arial"/>
      <w:vanish/>
      <w:sz w:val="16"/>
      <w:szCs w:val="16"/>
    </w:rPr>
  </w:style>
  <w:style w:type="character" w:customStyle="1" w:styleId="55">
    <w:name w:val="日期 Char"/>
    <w:link w:val="21"/>
    <w:semiHidden/>
    <w:qFormat/>
    <w:uiPriority w:val="99"/>
    <w:rPr>
      <w:sz w:val="22"/>
      <w:szCs w:val="22"/>
    </w:rPr>
  </w:style>
  <w:style w:type="paragraph" w:customStyle="1" w:styleId="56">
    <w:name w:val="List Paragraph1"/>
    <w:basedOn w:val="1"/>
    <w:link w:val="70"/>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7">
    <w:name w:val="Revision1"/>
    <w:hidden/>
    <w:semiHidden/>
    <w:qFormat/>
    <w:uiPriority w:val="99"/>
    <w:rPr>
      <w:rFonts w:ascii="Calibri" w:hAnsi="Calibri" w:cs="Times New Roman" w:eastAsiaTheme="minorEastAsia"/>
      <w:sz w:val="22"/>
      <w:szCs w:val="22"/>
      <w:lang w:val="en-US" w:eastAsia="zh-CN" w:bidi="ar-SA"/>
    </w:rPr>
  </w:style>
  <w:style w:type="paragraph" w:customStyle="1" w:styleId="58">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9">
    <w:name w:val="short_text"/>
    <w:basedOn w:val="30"/>
    <w:qFormat/>
    <w:uiPriority w:val="0"/>
  </w:style>
  <w:style w:type="paragraph" w:customStyle="1" w:styleId="60">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1">
    <w:name w:val="纯文本 Char"/>
    <w:link w:val="20"/>
    <w:qFormat/>
    <w:uiPriority w:val="99"/>
    <w:rPr>
      <w:rFonts w:eastAsia="Calibri"/>
      <w:sz w:val="22"/>
      <w:szCs w:val="21"/>
      <w:lang w:val="en-GB" w:eastAsia="en-US"/>
    </w:rPr>
  </w:style>
  <w:style w:type="paragraph" w:customStyle="1" w:styleId="62">
    <w:name w:val="TAH"/>
    <w:basedOn w:val="63"/>
    <w:link w:val="83"/>
    <w:qFormat/>
    <w:uiPriority w:val="0"/>
    <w:rPr>
      <w:b/>
    </w:rPr>
  </w:style>
  <w:style w:type="paragraph" w:customStyle="1" w:styleId="63">
    <w:name w:val="TAC"/>
    <w:basedOn w:val="64"/>
    <w:qFormat/>
    <w:uiPriority w:val="0"/>
    <w:pPr>
      <w:spacing w:line="240" w:lineRule="auto"/>
      <w:jc w:val="center"/>
    </w:pPr>
    <w:rPr>
      <w:szCs w:val="20"/>
      <w:lang w:val="en-GB" w:eastAsia="en-US"/>
    </w:rPr>
  </w:style>
  <w:style w:type="paragraph" w:customStyle="1" w:styleId="64">
    <w:name w:val="TAL"/>
    <w:basedOn w:val="1"/>
    <w:qFormat/>
    <w:uiPriority w:val="0"/>
    <w:pPr>
      <w:keepNext/>
      <w:keepLines/>
      <w:spacing w:after="0"/>
    </w:pPr>
    <w:rPr>
      <w:rFonts w:ascii="Arial" w:hAnsi="Arial"/>
      <w:sz w:val="18"/>
    </w:rPr>
  </w:style>
  <w:style w:type="paragraph" w:customStyle="1" w:styleId="65">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6">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7">
    <w:name w:val="标题 4 Char"/>
    <w:link w:val="5"/>
    <w:qFormat/>
    <w:uiPriority w:val="0"/>
    <w:rPr>
      <w:rFonts w:ascii="Times New Roman" w:hAnsi="Times New Roman"/>
      <w:b/>
      <w:sz w:val="28"/>
      <w:szCs w:val="28"/>
      <w:lang w:val="en-GB"/>
    </w:rPr>
  </w:style>
  <w:style w:type="character" w:customStyle="1" w:styleId="68">
    <w:name w:val="标题 5 Char"/>
    <w:link w:val="6"/>
    <w:qFormat/>
    <w:uiPriority w:val="0"/>
    <w:rPr>
      <w:rFonts w:ascii="Times New Roman" w:hAnsi="Times New Roman"/>
      <w:b/>
      <w:sz w:val="24"/>
      <w:szCs w:val="24"/>
      <w:lang w:val="en-GB"/>
    </w:rPr>
  </w:style>
  <w:style w:type="character" w:customStyle="1" w:styleId="69">
    <w:name w:val="apple-converted-space"/>
    <w:basedOn w:val="30"/>
    <w:qFormat/>
    <w:uiPriority w:val="0"/>
  </w:style>
  <w:style w:type="character" w:customStyle="1" w:styleId="70">
    <w:name w:val="列出段落 Char"/>
    <w:link w:val="56"/>
    <w:qFormat/>
    <w:locked/>
    <w:uiPriority w:val="34"/>
    <w:rPr>
      <w:rFonts w:ascii="Times New Roman" w:hAnsi="Times New Roman"/>
      <w:kern w:val="2"/>
      <w:sz w:val="21"/>
      <w:szCs w:val="24"/>
    </w:rPr>
  </w:style>
  <w:style w:type="character" w:customStyle="1" w:styleId="71">
    <w:name w:val="keyword"/>
    <w:basedOn w:val="30"/>
    <w:qFormat/>
    <w:uiPriority w:val="0"/>
  </w:style>
  <w:style w:type="paragraph" w:customStyle="1" w:styleId="72">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3">
    <w:name w:val="Doc-text2"/>
    <w:basedOn w:val="1"/>
    <w:link w:val="74"/>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4">
    <w:name w:val="Doc-text2 Char"/>
    <w:link w:val="73"/>
    <w:qFormat/>
    <w:uiPriority w:val="0"/>
    <w:rPr>
      <w:rFonts w:ascii="Arial" w:hAnsi="Arial" w:eastAsia="MS Mincho"/>
      <w:szCs w:val="24"/>
      <w:lang w:val="en-GB" w:eastAsia="en-GB"/>
    </w:rPr>
  </w:style>
  <w:style w:type="character" w:customStyle="1" w:styleId="75">
    <w:name w:val="正文文本缩进 Char"/>
    <w:basedOn w:val="30"/>
    <w:link w:val="19"/>
    <w:semiHidden/>
    <w:qFormat/>
    <w:uiPriority w:val="99"/>
    <w:rPr>
      <w:sz w:val="22"/>
      <w:szCs w:val="22"/>
    </w:rPr>
  </w:style>
  <w:style w:type="paragraph" w:customStyle="1" w:styleId="76">
    <w:name w:val="main text"/>
    <w:basedOn w:val="1"/>
    <w:link w:val="77"/>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7">
    <w:name w:val="main text Char"/>
    <w:link w:val="76"/>
    <w:qFormat/>
    <w:uiPriority w:val="0"/>
    <w:rPr>
      <w:rFonts w:ascii="Times New Roman" w:hAnsi="Times New Roman" w:eastAsia="Malgun Gothic"/>
      <w:lang w:val="en-GB" w:eastAsia="ko-KR"/>
    </w:rPr>
  </w:style>
  <w:style w:type="paragraph" w:customStyle="1" w:styleId="78">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9">
    <w:name w:val="样式 正文缩进d + 首行缩进:  2 字符 段前: 0.35 行"/>
    <w:basedOn w:val="14"/>
    <w:link w:val="80"/>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0">
    <w:name w:val="样式 正文缩进d + 首行缩进:  2 字符 段前: 0.35 行 Char"/>
    <w:link w:val="79"/>
    <w:qFormat/>
    <w:uiPriority w:val="0"/>
    <w:rPr>
      <w:rFonts w:ascii="Times New Roman" w:hAnsi="Times New Roman" w:eastAsia="楷体_GB2312"/>
      <w:snapToGrid w:val="0"/>
      <w:sz w:val="28"/>
    </w:rPr>
  </w:style>
  <w:style w:type="paragraph" w:customStyle="1" w:styleId="81">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2">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3">
    <w:name w:val="TAH Car"/>
    <w:link w:val="62"/>
    <w:qFormat/>
    <w:uiPriority w:val="0"/>
    <w:rPr>
      <w:rFonts w:ascii="Arial" w:hAnsi="Arial"/>
      <w:b/>
      <w:sz w:val="18"/>
      <w:lang w:val="en-GB" w:eastAsia="en-US"/>
    </w:rPr>
  </w:style>
  <w:style w:type="paragraph" w:customStyle="1" w:styleId="84">
    <w:name w:val="_Style 1"/>
    <w:basedOn w:val="1"/>
    <w:qFormat/>
    <w:uiPriority w:val="34"/>
    <w:pPr>
      <w:ind w:left="840" w:leftChars="400"/>
    </w:pPr>
  </w:style>
  <w:style w:type="paragraph" w:customStyle="1" w:styleId="85">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6">
    <w:name w:val="B1"/>
    <w:basedOn w:val="13"/>
    <w:qFormat/>
    <w:uiPriority w:val="0"/>
  </w:style>
  <w:style w:type="paragraph" w:customStyle="1" w:styleId="87">
    <w:name w:val="EQ"/>
    <w:basedOn w:val="1"/>
    <w:next w:val="1"/>
    <w:unhideWhenUsed/>
    <w:qFormat/>
    <w:uiPriority w:val="0"/>
    <w:pPr>
      <w:keepLines/>
      <w:tabs>
        <w:tab w:val="center" w:pos="4536"/>
        <w:tab w:val="right" w:pos="9072"/>
      </w:tabs>
    </w:pPr>
    <w:rPr>
      <w:sz w:val="24"/>
    </w:rPr>
  </w:style>
  <w:style w:type="paragraph" w:customStyle="1" w:styleId="88">
    <w:name w:val="List Paragraph2"/>
    <w:basedOn w:val="1"/>
    <w:qFormat/>
    <w:uiPriority w:val="99"/>
    <w:pPr>
      <w:ind w:firstLine="420" w:firstLineChars="200"/>
    </w:pPr>
  </w:style>
  <w:style w:type="paragraph" w:customStyle="1" w:styleId="89">
    <w:name w:val="No Spacing1"/>
    <w:qFormat/>
    <w:uiPriority w:val="1"/>
    <w:rPr>
      <w:rFonts w:ascii="Times New Roman" w:hAnsi="Times New Roman" w:eastAsia="宋体" w:cs="Times New Roman"/>
      <w:sz w:val="22"/>
      <w:szCs w:val="22"/>
      <w:lang w:val="en-US" w:eastAsia="zh-CN" w:bidi="ar-SA"/>
    </w:rPr>
  </w:style>
  <w:style w:type="paragraph" w:customStyle="1" w:styleId="90">
    <w:name w:val="Comments"/>
    <w:basedOn w:val="1"/>
    <w:qFormat/>
    <w:uiPriority w:val="0"/>
    <w:pPr>
      <w:spacing w:before="40"/>
    </w:pPr>
    <w:rPr>
      <w:rFonts w:ascii="Arial" w:hAnsi="Arial" w:eastAsia="MS Mincho"/>
      <w:i/>
      <w:sz w:val="18"/>
      <w:lang w:eastAsia="en-GB"/>
    </w:rPr>
  </w:style>
  <w:style w:type="paragraph" w:customStyle="1" w:styleId="91">
    <w:name w:val="列出段落2"/>
    <w:basedOn w:val="1"/>
    <w:qFormat/>
    <w:uiPriority w:val="34"/>
    <w:pPr>
      <w:ind w:left="840" w:leftChars="400"/>
    </w:pPr>
  </w:style>
  <w:style w:type="paragraph" w:customStyle="1" w:styleId="9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3">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4">
    <w:name w:val="列出段落3"/>
    <w:basedOn w:val="1"/>
    <w:qFormat/>
    <w:uiPriority w:val="34"/>
    <w:pPr>
      <w:ind w:left="840" w:leftChars="400"/>
    </w:pPr>
  </w:style>
  <w:style w:type="paragraph" w:customStyle="1" w:styleId="95">
    <w:name w:val="列出段落4"/>
    <w:basedOn w:val="1"/>
    <w:qFormat/>
    <w:uiPriority w:val="34"/>
    <w:pPr>
      <w:ind w:left="840" w:leftChars="400"/>
    </w:pPr>
  </w:style>
  <w:style w:type="paragraph" w:customStyle="1" w:styleId="96">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97">
    <w:name w:val="List Paragraph"/>
    <w:basedOn w:val="1"/>
    <w:qFormat/>
    <w:uiPriority w:val="34"/>
    <w:pPr>
      <w:ind w:left="840" w:leftChars="400"/>
    </w:pPr>
  </w:style>
  <w:style w:type="character" w:styleId="98">
    <w:name w:val="Placeholder Text"/>
    <w:basedOn w:val="30"/>
    <w:semiHidden/>
    <w:qFormat/>
    <w:uiPriority w:val="99"/>
    <w:rPr>
      <w:color w:val="808080"/>
    </w:rPr>
  </w:style>
  <w:style w:type="paragraph" w:customStyle="1" w:styleId="99">
    <w:name w:val="a0"/>
    <w:basedOn w:val="1"/>
    <w:qFormat/>
    <w:uiPriority w:val="99"/>
    <w:pPr>
      <w:spacing w:before="100" w:beforeAutospacing="1" w:after="100" w:afterAutospacing="1" w:line="240" w:lineRule="auto"/>
    </w:pPr>
    <w:rPr>
      <w:rFonts w:ascii="宋体" w:hAnsi="宋体" w:eastAsia="宋体" w:cs="Gulim"/>
      <w:sz w:val="24"/>
      <w:szCs w:val="24"/>
      <w:lang w:eastAsia="ko-KR"/>
    </w:rPr>
  </w:style>
  <w:style w:type="paragraph" w:customStyle="1" w:styleId="100">
    <w:name w:val="修订1"/>
    <w:hidden/>
    <w:semiHidden/>
    <w:qFormat/>
    <w:uiPriority w:val="99"/>
    <w:rPr>
      <w:rFonts w:ascii="Calibri" w:hAnsi="Calibri" w:cs="Times New Roman" w:eastAsiaTheme="minorEastAsia"/>
      <w:sz w:val="22"/>
      <w:szCs w:val="22"/>
      <w:lang w:val="en-US" w:eastAsia="zh-CN" w:bidi="ar-SA"/>
    </w:rPr>
  </w:style>
  <w:style w:type="paragraph" w:customStyle="1" w:styleId="101">
    <w:name w:val="B4"/>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er" Target="footer1.xml"/><Relationship Id="rId29" Type="http://schemas.openxmlformats.org/officeDocument/2006/relationships/image" Target="media/image22.wmf"/><Relationship Id="rId28" Type="http://schemas.openxmlformats.org/officeDocument/2006/relationships/image" Target="media/image21.wmf"/><Relationship Id="rId27" Type="http://schemas.openxmlformats.org/officeDocument/2006/relationships/image" Target="media/image20.wmf"/><Relationship Id="rId26" Type="http://schemas.openxmlformats.org/officeDocument/2006/relationships/image" Target="media/image19.wmf"/><Relationship Id="rId25" Type="http://schemas.openxmlformats.org/officeDocument/2006/relationships/image" Target="media/image18.wmf"/><Relationship Id="rId24" Type="http://schemas.openxmlformats.org/officeDocument/2006/relationships/image" Target="media/image17.wmf"/><Relationship Id="rId23" Type="http://schemas.openxmlformats.org/officeDocument/2006/relationships/image" Target="media/image16.wmf"/><Relationship Id="rId22" Type="http://schemas.openxmlformats.org/officeDocument/2006/relationships/image" Target="media/image15.wmf"/><Relationship Id="rId21" Type="http://schemas.openxmlformats.org/officeDocument/2006/relationships/image" Target="media/image14.wmf"/><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image" Target="media/image11.wmf"/><Relationship Id="rId17" Type="http://schemas.openxmlformats.org/officeDocument/2006/relationships/image" Target="media/image10.wmf"/><Relationship Id="rId16" Type="http://schemas.openxmlformats.org/officeDocument/2006/relationships/image" Target="media/image9.wmf"/><Relationship Id="rId15" Type="http://schemas.openxmlformats.org/officeDocument/2006/relationships/image" Target="media/image8.wmf"/><Relationship Id="rId14" Type="http://schemas.openxmlformats.org/officeDocument/2006/relationships/image" Target="media/image7.wmf"/><Relationship Id="rId13" Type="http://schemas.openxmlformats.org/officeDocument/2006/relationships/image" Target="media/image6.wmf"/><Relationship Id="rId12" Type="http://schemas.openxmlformats.org/officeDocument/2006/relationships/image" Target="media/image5.wmf"/><Relationship Id="rId11" Type="http://schemas.openxmlformats.org/officeDocument/2006/relationships/image" Target="media/image4.png"/><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C4B92A-1D74-48F3-B8A5-EDB4F8D69254}">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14</Pages>
  <Words>6174</Words>
  <Characters>35197</Characters>
  <Lines>293</Lines>
  <Paragraphs>82</Paragraphs>
  <TotalTime>3</TotalTime>
  <ScaleCrop>false</ScaleCrop>
  <LinksUpToDate>false</LinksUpToDate>
  <CharactersWithSpaces>41289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2021-08-02T13:41:00Z</dcterms:created>
  <dc:creator>ZTE</dc:creator>
  <cp:lastModifiedBy>邹敏强10286426</cp:lastModifiedBy>
  <dcterms:modified xsi:type="dcterms:W3CDTF">2021-09-29T07:54:06Z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